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54" w:lineRule="auto" w:before="292"/>
        <w:ind w:left="702" w:right="414" w:firstLine="0"/>
        <w:jc w:val="left"/>
        <w:rPr>
          <w:b/>
          <w:sz w:val="28"/>
        </w:rPr>
      </w:pPr>
      <w:r>
        <w:rPr/>
        <w:pict>
          <v:group style="position:absolute;margin-left:0pt;margin-top:-322.2034pt;width:623.65pt;height:321.350pt;mso-position-horizontal-relative:page;mso-position-vertical-relative:paragraph;z-index:1120" coordorigin="0,-6444" coordsize="12473,6427">
            <v:shape style="position:absolute;left:0;top:-6445;width:12473;height:5055" type="#_x0000_t75" stroked="false">
              <v:imagedata r:id="rId5" o:title=""/>
            </v:shape>
            <v:rect style="position:absolute;left:0;top:-1626;width:12473;height:1199" filled="true" fillcolor="#e31836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02;top:-2175;width:2525;height:369" type="#_x0000_t202" filled="false" stroked="false">
              <v:textbox inset="0,0,0,0">
                <w:txbxContent>
                  <w:p>
                    <w:pPr>
                      <w:spacing w:before="37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BURANDA STATION</w:t>
                    </w:r>
                  </w:p>
                </w:txbxContent>
              </v:textbox>
              <w10:wrap type="none"/>
            </v:shape>
            <v:shape style="position:absolute;left:0;top:-1626;width:12473;height:1199" type="#_x0000_t202" filled="false" stroked="false">
              <v:textbox inset="0,0,0,0">
                <w:txbxContent>
                  <w:p>
                    <w:pPr>
                      <w:spacing w:before="288"/>
                      <w:ind w:left="702" w:right="0" w:firstLine="0"/>
                      <w:jc w:val="left"/>
                      <w:rPr>
                        <w:b/>
                        <w:sz w:val="63"/>
                      </w:rPr>
                    </w:pPr>
                    <w:r>
                      <w:rPr>
                        <w:b/>
                        <w:color w:val="FFFFFF"/>
                        <w:sz w:val="63"/>
                      </w:rPr>
                      <w:t>Station Accessibility Upgrade</w:t>
                    </w:r>
                    <w:r>
                      <w:rPr>
                        <w:b/>
                        <w:color w:val="FFFFFF"/>
                        <w:spacing w:val="60"/>
                        <w:sz w:val="63"/>
                      </w:rPr>
                      <w:t> </w:t>
                    </w:r>
                    <w:r>
                      <w:rPr>
                        <w:b/>
                        <w:color w:val="FFFFFF"/>
                        <w:spacing w:val="-4"/>
                        <w:sz w:val="63"/>
                      </w:rPr>
                      <w:t>Program</w:t>
                    </w:r>
                  </w:p>
                </w:txbxContent>
              </v:textbox>
              <w10:wrap type="none"/>
            </v:shape>
            <v:shape style="position:absolute;left:0;top:-427;width:12473;height:410" type="#_x0000_t202" filled="true" fillcolor="#58595b" stroked="false">
              <v:textbox inset="0,0,0,0">
                <w:txbxContent>
                  <w:p>
                    <w:pPr>
                      <w:spacing w:before="39"/>
                      <w:ind w:left="0" w:right="700" w:firstLine="0"/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PROJECT UPDATE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b/>
          <w:color w:val="58595B"/>
          <w:sz w:val="28"/>
        </w:rPr>
        <w:t>Queensland Rail is striving to become a modern, customer-focused rail service and is investing $300 million to upgrade stations, making them accessible for all customers.</w:t>
      </w:r>
    </w:p>
    <w:p>
      <w:pPr>
        <w:pStyle w:val="BodyText"/>
        <w:spacing w:before="4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2480" w:h="17410"/>
          <w:pgMar w:top="0" w:bottom="0" w:left="0" w:right="0"/>
        </w:sectPr>
      </w:pPr>
    </w:p>
    <w:p>
      <w:pPr>
        <w:pStyle w:val="BodyText"/>
        <w:spacing w:line="259" w:lineRule="auto" w:before="136"/>
        <w:ind w:left="702"/>
        <w:jc w:val="both"/>
      </w:pPr>
      <w:r>
        <w:rPr>
          <w:color w:val="58595B"/>
          <w:w w:val="105"/>
        </w:rPr>
        <w:t>As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part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of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the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Station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Accessibility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Upgrade</w:t>
      </w:r>
      <w:r>
        <w:rPr>
          <w:color w:val="58595B"/>
          <w:spacing w:val="-21"/>
          <w:w w:val="105"/>
        </w:rPr>
        <w:t> </w:t>
      </w:r>
      <w:r>
        <w:rPr>
          <w:color w:val="58595B"/>
          <w:w w:val="105"/>
        </w:rPr>
        <w:t>Program, Queensland</w:t>
      </w:r>
      <w:r>
        <w:rPr>
          <w:color w:val="58595B"/>
          <w:spacing w:val="-23"/>
          <w:w w:val="105"/>
        </w:rPr>
        <w:t> </w:t>
      </w:r>
      <w:r>
        <w:rPr>
          <w:color w:val="58595B"/>
          <w:w w:val="105"/>
        </w:rPr>
        <w:t>Rail</w:t>
      </w:r>
      <w:r>
        <w:rPr>
          <w:color w:val="58595B"/>
          <w:spacing w:val="-23"/>
          <w:w w:val="105"/>
        </w:rPr>
        <w:t> </w:t>
      </w:r>
      <w:r>
        <w:rPr>
          <w:color w:val="58595B"/>
          <w:w w:val="105"/>
        </w:rPr>
        <w:t>is</w:t>
      </w:r>
      <w:r>
        <w:rPr>
          <w:color w:val="58595B"/>
          <w:spacing w:val="-23"/>
          <w:w w:val="105"/>
        </w:rPr>
        <w:t> </w:t>
      </w:r>
      <w:r>
        <w:rPr>
          <w:color w:val="58595B"/>
          <w:w w:val="105"/>
        </w:rPr>
        <w:t>making</w:t>
      </w:r>
      <w:r>
        <w:rPr>
          <w:color w:val="58595B"/>
          <w:spacing w:val="-23"/>
          <w:w w:val="105"/>
        </w:rPr>
        <w:t> </w:t>
      </w:r>
      <w:r>
        <w:rPr>
          <w:color w:val="58595B"/>
          <w:w w:val="105"/>
        </w:rPr>
        <w:t>improvements</w:t>
      </w:r>
      <w:r>
        <w:rPr>
          <w:color w:val="58595B"/>
          <w:spacing w:val="-23"/>
          <w:w w:val="105"/>
        </w:rPr>
        <w:t> </w:t>
      </w:r>
      <w:r>
        <w:rPr>
          <w:color w:val="58595B"/>
          <w:w w:val="105"/>
        </w:rPr>
        <w:t>to</w:t>
      </w:r>
      <w:r>
        <w:rPr>
          <w:color w:val="58595B"/>
          <w:spacing w:val="-23"/>
          <w:w w:val="105"/>
        </w:rPr>
        <w:t> </w:t>
      </w:r>
      <w:r>
        <w:rPr>
          <w:color w:val="58595B"/>
          <w:w w:val="105"/>
        </w:rPr>
        <w:t>Buranda station.</w:t>
      </w:r>
    </w:p>
    <w:p>
      <w:pPr>
        <w:pStyle w:val="BodyText"/>
        <w:spacing w:before="159"/>
        <w:ind w:left="702"/>
        <w:jc w:val="both"/>
      </w:pPr>
      <w:r>
        <w:rPr>
          <w:color w:val="58595B"/>
        </w:rPr>
        <w:t>These  improvements include:</w:t>
      </w:r>
    </w:p>
    <w:p>
      <w:pPr>
        <w:pStyle w:val="ListParagraph"/>
        <w:numPr>
          <w:ilvl w:val="0"/>
          <w:numId w:val="1"/>
        </w:numPr>
        <w:tabs>
          <w:tab w:pos="1501" w:val="left" w:leader="none"/>
          <w:tab w:pos="1502" w:val="left" w:leader="none"/>
        </w:tabs>
        <w:spacing w:line="240" w:lineRule="auto" w:before="139" w:after="0"/>
        <w:ind w:left="1501" w:right="0" w:hanging="399"/>
        <w:jc w:val="left"/>
        <w:rPr>
          <w:sz w:val="22"/>
        </w:rPr>
      </w:pPr>
      <w:r>
        <w:rPr>
          <w:color w:val="58595B"/>
          <w:w w:val="105"/>
          <w:sz w:val="22"/>
        </w:rPr>
        <w:t>a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new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pedestrian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footbridge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with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lift</w:t>
      </w:r>
      <w:r>
        <w:rPr>
          <w:color w:val="58595B"/>
          <w:spacing w:val="-20"/>
          <w:w w:val="105"/>
          <w:sz w:val="22"/>
        </w:rPr>
        <w:t> </w:t>
      </w:r>
      <w:r>
        <w:rPr>
          <w:color w:val="58595B"/>
          <w:w w:val="105"/>
          <w:sz w:val="22"/>
        </w:rPr>
        <w:t>access</w:t>
      </w:r>
    </w:p>
    <w:p>
      <w:pPr>
        <w:pStyle w:val="ListParagraph"/>
        <w:numPr>
          <w:ilvl w:val="0"/>
          <w:numId w:val="1"/>
        </w:numPr>
        <w:tabs>
          <w:tab w:pos="1501" w:val="left" w:leader="none"/>
          <w:tab w:pos="1502" w:val="left" w:leader="none"/>
        </w:tabs>
        <w:spacing w:line="259" w:lineRule="auto" w:before="19" w:after="0"/>
        <w:ind w:left="1501" w:right="719" w:hanging="399"/>
        <w:jc w:val="left"/>
        <w:rPr>
          <w:sz w:val="22"/>
        </w:rPr>
      </w:pPr>
      <w:r>
        <w:rPr>
          <w:color w:val="58595B"/>
          <w:w w:val="105"/>
          <w:sz w:val="22"/>
        </w:rPr>
        <w:t>raised</w:t>
      </w:r>
      <w:r>
        <w:rPr>
          <w:color w:val="58595B"/>
          <w:spacing w:val="-21"/>
          <w:w w:val="105"/>
          <w:sz w:val="22"/>
        </w:rPr>
        <w:t> </w:t>
      </w:r>
      <w:r>
        <w:rPr>
          <w:color w:val="58595B"/>
          <w:w w:val="105"/>
          <w:sz w:val="22"/>
        </w:rPr>
        <w:t>section</w:t>
      </w:r>
      <w:r>
        <w:rPr>
          <w:color w:val="58595B"/>
          <w:spacing w:val="-21"/>
          <w:w w:val="105"/>
          <w:sz w:val="22"/>
        </w:rPr>
        <w:t> </w:t>
      </w:r>
      <w:r>
        <w:rPr>
          <w:color w:val="58595B"/>
          <w:w w:val="105"/>
          <w:sz w:val="22"/>
        </w:rPr>
        <w:t>of</w:t>
      </w:r>
      <w:r>
        <w:rPr>
          <w:color w:val="58595B"/>
          <w:spacing w:val="-21"/>
          <w:w w:val="105"/>
          <w:sz w:val="22"/>
        </w:rPr>
        <w:t> </w:t>
      </w:r>
      <w:r>
        <w:rPr>
          <w:color w:val="58595B"/>
          <w:w w:val="105"/>
          <w:sz w:val="22"/>
        </w:rPr>
        <w:t>platform</w:t>
      </w:r>
      <w:r>
        <w:rPr>
          <w:color w:val="58595B"/>
          <w:spacing w:val="-21"/>
          <w:w w:val="105"/>
          <w:sz w:val="22"/>
        </w:rPr>
        <w:t> </w:t>
      </w:r>
      <w:r>
        <w:rPr>
          <w:color w:val="58595B"/>
          <w:w w:val="105"/>
          <w:sz w:val="22"/>
        </w:rPr>
        <w:t>at</w:t>
      </w:r>
      <w:r>
        <w:rPr>
          <w:color w:val="58595B"/>
          <w:spacing w:val="-21"/>
          <w:w w:val="105"/>
          <w:sz w:val="22"/>
        </w:rPr>
        <w:t> </w:t>
      </w:r>
      <w:r>
        <w:rPr>
          <w:color w:val="58595B"/>
          <w:w w:val="105"/>
          <w:sz w:val="22"/>
        </w:rPr>
        <w:t>assisted </w:t>
      </w:r>
      <w:r>
        <w:rPr>
          <w:color w:val="58595B"/>
          <w:sz w:val="22"/>
        </w:rPr>
        <w:t>boarding</w:t>
      </w:r>
      <w:r>
        <w:rPr>
          <w:color w:val="58595B"/>
          <w:spacing w:val="31"/>
          <w:sz w:val="22"/>
        </w:rPr>
        <w:t> </w:t>
      </w:r>
      <w:r>
        <w:rPr>
          <w:color w:val="58595B"/>
          <w:sz w:val="22"/>
        </w:rPr>
        <w:t>points</w:t>
      </w:r>
    </w:p>
    <w:p>
      <w:pPr>
        <w:pStyle w:val="BodyText"/>
        <w:spacing w:line="259" w:lineRule="auto" w:before="163"/>
        <w:ind w:left="482" w:right="689"/>
      </w:pPr>
      <w:r>
        <w:rPr/>
        <w:br w:type="column"/>
      </w:r>
      <w:r>
        <w:rPr>
          <w:color w:val="58595B"/>
          <w:spacing w:val="-3"/>
          <w:w w:val="105"/>
        </w:rPr>
        <w:t>The </w:t>
      </w:r>
      <w:r>
        <w:rPr>
          <w:color w:val="58595B"/>
          <w:w w:val="105"/>
        </w:rPr>
        <w:t>project is currently in the design phase. As we move through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the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design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and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construction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phases,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we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will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ensure we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keep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local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residents,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customers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and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community</w:t>
      </w:r>
      <w:r>
        <w:rPr>
          <w:color w:val="58595B"/>
          <w:spacing w:val="-19"/>
          <w:w w:val="105"/>
        </w:rPr>
        <w:t> </w:t>
      </w:r>
      <w:r>
        <w:rPr>
          <w:color w:val="58595B"/>
          <w:w w:val="105"/>
        </w:rPr>
        <w:t>groups well</w:t>
      </w:r>
      <w:r>
        <w:rPr>
          <w:color w:val="58595B"/>
          <w:spacing w:val="-25"/>
          <w:w w:val="105"/>
        </w:rPr>
        <w:t> </w:t>
      </w:r>
      <w:r>
        <w:rPr>
          <w:color w:val="58595B"/>
          <w:w w:val="105"/>
        </w:rPr>
        <w:t>informed</w:t>
      </w:r>
      <w:r>
        <w:rPr>
          <w:color w:val="58595B"/>
          <w:spacing w:val="-25"/>
          <w:w w:val="105"/>
        </w:rPr>
        <w:t> </w:t>
      </w:r>
      <w:r>
        <w:rPr>
          <w:color w:val="58595B"/>
          <w:w w:val="105"/>
        </w:rPr>
        <w:t>of</w:t>
      </w:r>
      <w:r>
        <w:rPr>
          <w:color w:val="58595B"/>
          <w:spacing w:val="-25"/>
          <w:w w:val="105"/>
        </w:rPr>
        <w:t> </w:t>
      </w:r>
      <w:r>
        <w:rPr>
          <w:color w:val="58595B"/>
          <w:w w:val="105"/>
        </w:rPr>
        <w:t>the</w:t>
      </w:r>
      <w:r>
        <w:rPr>
          <w:color w:val="58595B"/>
          <w:spacing w:val="-25"/>
          <w:w w:val="105"/>
        </w:rPr>
        <w:t> </w:t>
      </w:r>
      <w:r>
        <w:rPr>
          <w:color w:val="58595B"/>
          <w:w w:val="105"/>
        </w:rPr>
        <w:t>project’s</w:t>
      </w:r>
      <w:r>
        <w:rPr>
          <w:color w:val="58595B"/>
          <w:spacing w:val="-25"/>
          <w:w w:val="105"/>
        </w:rPr>
        <w:t> </w:t>
      </w:r>
      <w:r>
        <w:rPr>
          <w:color w:val="58595B"/>
          <w:w w:val="105"/>
        </w:rPr>
        <w:t>progress.</w:t>
      </w:r>
    </w:p>
    <w:p>
      <w:pPr>
        <w:pStyle w:val="BodyText"/>
        <w:spacing w:line="259" w:lineRule="auto" w:before="159"/>
        <w:ind w:left="482" w:right="817"/>
        <w:jc w:val="both"/>
      </w:pPr>
      <w:r>
        <w:rPr>
          <w:color w:val="58595B"/>
          <w:w w:val="105"/>
        </w:rPr>
        <w:t>Artist’s</w:t>
      </w:r>
      <w:r>
        <w:rPr>
          <w:color w:val="58595B"/>
          <w:spacing w:val="-22"/>
          <w:w w:val="105"/>
        </w:rPr>
        <w:t> </w:t>
      </w:r>
      <w:r>
        <w:rPr>
          <w:color w:val="58595B"/>
          <w:w w:val="105"/>
        </w:rPr>
        <w:t>impressions</w:t>
      </w:r>
      <w:r>
        <w:rPr>
          <w:color w:val="58595B"/>
          <w:spacing w:val="-22"/>
          <w:w w:val="105"/>
        </w:rPr>
        <w:t> </w:t>
      </w:r>
      <w:r>
        <w:rPr>
          <w:color w:val="58595B"/>
          <w:w w:val="105"/>
        </w:rPr>
        <w:t>are</w:t>
      </w:r>
      <w:r>
        <w:rPr>
          <w:color w:val="58595B"/>
          <w:spacing w:val="-22"/>
          <w:w w:val="105"/>
        </w:rPr>
        <w:t> </w:t>
      </w:r>
      <w:r>
        <w:rPr>
          <w:color w:val="58595B"/>
          <w:w w:val="105"/>
        </w:rPr>
        <w:t>now</w:t>
      </w:r>
      <w:r>
        <w:rPr>
          <w:color w:val="58595B"/>
          <w:spacing w:val="-22"/>
          <w:w w:val="105"/>
        </w:rPr>
        <w:t> </w:t>
      </w:r>
      <w:r>
        <w:rPr>
          <w:color w:val="58595B"/>
          <w:w w:val="105"/>
        </w:rPr>
        <w:t>available</w:t>
      </w:r>
      <w:r>
        <w:rPr>
          <w:color w:val="58595B"/>
          <w:spacing w:val="-22"/>
          <w:w w:val="105"/>
        </w:rPr>
        <w:t> </w:t>
      </w:r>
      <w:r>
        <w:rPr>
          <w:color w:val="58595B"/>
          <w:w w:val="105"/>
        </w:rPr>
        <w:t>and</w:t>
      </w:r>
      <w:r>
        <w:rPr>
          <w:color w:val="58595B"/>
          <w:spacing w:val="-22"/>
          <w:w w:val="105"/>
        </w:rPr>
        <w:t> </w:t>
      </w:r>
      <w:r>
        <w:rPr>
          <w:color w:val="58595B"/>
          <w:w w:val="105"/>
        </w:rPr>
        <w:t>detailed</w:t>
      </w:r>
      <w:r>
        <w:rPr>
          <w:color w:val="58595B"/>
          <w:spacing w:val="-22"/>
          <w:w w:val="105"/>
        </w:rPr>
        <w:t> </w:t>
      </w:r>
      <w:r>
        <w:rPr>
          <w:color w:val="58595B"/>
          <w:w w:val="105"/>
        </w:rPr>
        <w:t>design is</w:t>
      </w:r>
      <w:r>
        <w:rPr>
          <w:color w:val="58595B"/>
          <w:spacing w:val="-16"/>
          <w:w w:val="105"/>
        </w:rPr>
        <w:t> </w:t>
      </w:r>
      <w:r>
        <w:rPr>
          <w:color w:val="58595B"/>
          <w:w w:val="105"/>
        </w:rPr>
        <w:t>getting</w:t>
      </w:r>
      <w:r>
        <w:rPr>
          <w:color w:val="58595B"/>
          <w:spacing w:val="-16"/>
          <w:w w:val="105"/>
        </w:rPr>
        <w:t> </w:t>
      </w:r>
      <w:r>
        <w:rPr>
          <w:color w:val="58595B"/>
          <w:spacing w:val="-3"/>
          <w:w w:val="105"/>
        </w:rPr>
        <w:t>underway.</w:t>
      </w:r>
      <w:r>
        <w:rPr>
          <w:color w:val="58595B"/>
          <w:spacing w:val="21"/>
          <w:w w:val="105"/>
        </w:rPr>
        <w:t> </w:t>
      </w:r>
      <w:r>
        <w:rPr>
          <w:color w:val="58595B"/>
          <w:spacing w:val="-4"/>
          <w:w w:val="105"/>
        </w:rPr>
        <w:t>For</w:t>
      </w:r>
      <w:r>
        <w:rPr>
          <w:color w:val="58595B"/>
          <w:spacing w:val="-16"/>
          <w:w w:val="105"/>
        </w:rPr>
        <w:t> </w:t>
      </w:r>
      <w:r>
        <w:rPr>
          <w:color w:val="58595B"/>
          <w:w w:val="105"/>
        </w:rPr>
        <w:t>further</w:t>
      </w:r>
      <w:r>
        <w:rPr>
          <w:color w:val="58595B"/>
          <w:spacing w:val="-16"/>
          <w:w w:val="105"/>
        </w:rPr>
        <w:t> </w:t>
      </w:r>
      <w:r>
        <w:rPr>
          <w:color w:val="58595B"/>
          <w:w w:val="105"/>
        </w:rPr>
        <w:t>information</w:t>
      </w:r>
      <w:r>
        <w:rPr>
          <w:color w:val="58595B"/>
          <w:spacing w:val="-16"/>
          <w:w w:val="105"/>
        </w:rPr>
        <w:t> </w:t>
      </w:r>
      <w:r>
        <w:rPr>
          <w:color w:val="58595B"/>
          <w:w w:val="105"/>
        </w:rPr>
        <w:t>or</w:t>
      </w:r>
      <w:r>
        <w:rPr>
          <w:color w:val="58595B"/>
          <w:spacing w:val="-16"/>
          <w:w w:val="105"/>
        </w:rPr>
        <w:t> </w:t>
      </w:r>
      <w:r>
        <w:rPr>
          <w:color w:val="58595B"/>
          <w:w w:val="105"/>
        </w:rPr>
        <w:t>to</w:t>
      </w:r>
      <w:r>
        <w:rPr>
          <w:color w:val="58595B"/>
          <w:spacing w:val="-16"/>
          <w:w w:val="105"/>
        </w:rPr>
        <w:t> </w:t>
      </w:r>
      <w:r>
        <w:rPr>
          <w:color w:val="58595B"/>
          <w:w w:val="105"/>
        </w:rPr>
        <w:t>provide feedback:</w:t>
      </w:r>
    </w:p>
    <w:p>
      <w:pPr>
        <w:spacing w:after="0" w:line="259" w:lineRule="auto"/>
        <w:jc w:val="both"/>
        <w:sectPr>
          <w:type w:val="continuous"/>
          <w:pgSz w:w="12480" w:h="17410"/>
          <w:pgMar w:top="0" w:bottom="0" w:left="0" w:right="0"/>
          <w:cols w:num="2" w:equalWidth="0">
            <w:col w:w="5707" w:space="40"/>
            <w:col w:w="6733"/>
          </w:cols>
        </w:sectPr>
      </w:pPr>
    </w:p>
    <w:p>
      <w:pPr>
        <w:pStyle w:val="ListParagraph"/>
        <w:numPr>
          <w:ilvl w:val="0"/>
          <w:numId w:val="1"/>
        </w:numPr>
        <w:tabs>
          <w:tab w:pos="1501" w:val="left" w:leader="none"/>
          <w:tab w:pos="1502" w:val="left" w:leader="none"/>
        </w:tabs>
        <w:spacing w:line="235" w:lineRule="exact" w:before="0" w:after="0"/>
        <w:ind w:left="1501" w:right="0" w:hanging="399"/>
        <w:jc w:val="left"/>
        <w:rPr>
          <w:sz w:val="22"/>
        </w:rPr>
      </w:pPr>
      <w:r>
        <w:rPr>
          <w:color w:val="58595B"/>
          <w:w w:val="105"/>
          <w:sz w:val="22"/>
        </w:rPr>
        <w:t>upgraded</w:t>
      </w:r>
      <w:r>
        <w:rPr>
          <w:color w:val="58595B"/>
          <w:spacing w:val="-29"/>
          <w:w w:val="105"/>
          <w:sz w:val="22"/>
        </w:rPr>
        <w:t> </w:t>
      </w:r>
      <w:r>
        <w:rPr>
          <w:color w:val="58595B"/>
          <w:w w:val="105"/>
          <w:sz w:val="22"/>
        </w:rPr>
        <w:t>tactiles</w:t>
      </w:r>
      <w:r>
        <w:rPr>
          <w:color w:val="58595B"/>
          <w:spacing w:val="-29"/>
          <w:w w:val="105"/>
          <w:sz w:val="22"/>
        </w:rPr>
        <w:t> </w:t>
      </w:r>
      <w:r>
        <w:rPr>
          <w:color w:val="58595B"/>
          <w:w w:val="105"/>
          <w:sz w:val="22"/>
        </w:rPr>
        <w:t>and</w:t>
      </w:r>
      <w:r>
        <w:rPr>
          <w:color w:val="58595B"/>
          <w:spacing w:val="-29"/>
          <w:w w:val="105"/>
          <w:sz w:val="22"/>
        </w:rPr>
        <w:t> </w:t>
      </w:r>
      <w:r>
        <w:rPr>
          <w:color w:val="58595B"/>
          <w:w w:val="105"/>
          <w:sz w:val="22"/>
        </w:rPr>
        <w:t>hearing</w:t>
      </w:r>
      <w:r>
        <w:rPr>
          <w:color w:val="58595B"/>
          <w:spacing w:val="-29"/>
          <w:w w:val="105"/>
          <w:sz w:val="22"/>
        </w:rPr>
        <w:t> </w:t>
      </w:r>
      <w:r>
        <w:rPr>
          <w:color w:val="58595B"/>
          <w:w w:val="105"/>
          <w:sz w:val="22"/>
        </w:rPr>
        <w:t>augmentation</w:t>
      </w:r>
    </w:p>
    <w:p>
      <w:pPr>
        <w:pStyle w:val="BodyText"/>
        <w:spacing w:line="128" w:lineRule="exact" w:before="106"/>
        <w:ind w:left="435"/>
      </w:pPr>
      <w:r>
        <w:rPr/>
        <w:br w:type="column"/>
      </w:r>
      <w:r>
        <w:rPr>
          <w:color w:val="58595B"/>
        </w:rPr>
        <w:t>Phone:</w:t>
      </w:r>
    </w:p>
    <w:p>
      <w:pPr>
        <w:spacing w:line="104" w:lineRule="exact" w:before="130"/>
        <w:ind w:left="636" w:right="0" w:firstLine="0"/>
        <w:jc w:val="left"/>
        <w:rPr>
          <w:sz w:val="22"/>
        </w:rPr>
      </w:pPr>
      <w:r>
        <w:rPr/>
        <w:br w:type="column"/>
      </w:r>
      <w:r>
        <w:rPr>
          <w:b/>
          <w:color w:val="58595B"/>
          <w:w w:val="105"/>
          <w:sz w:val="22"/>
        </w:rPr>
        <w:t>1800 722 203 </w:t>
      </w:r>
      <w:r>
        <w:rPr>
          <w:color w:val="58595B"/>
          <w:w w:val="105"/>
          <w:sz w:val="22"/>
        </w:rPr>
        <w:t>(free call)</w:t>
      </w:r>
    </w:p>
    <w:p>
      <w:pPr>
        <w:spacing w:after="0" w:line="104" w:lineRule="exact"/>
        <w:jc w:val="left"/>
        <w:rPr>
          <w:sz w:val="22"/>
        </w:rPr>
        <w:sectPr>
          <w:type w:val="continuous"/>
          <w:pgSz w:w="12480" w:h="17410"/>
          <w:pgMar w:top="0" w:bottom="0" w:left="0" w:right="0"/>
          <w:cols w:num="3" w:equalWidth="0">
            <w:col w:w="5754" w:space="40"/>
            <w:col w:w="1077" w:space="40"/>
            <w:col w:w="5569"/>
          </w:cols>
        </w:sectPr>
      </w:pPr>
    </w:p>
    <w:p>
      <w:pPr>
        <w:pStyle w:val="BodyText"/>
        <w:spacing w:before="34"/>
        <w:ind w:left="1501"/>
      </w:pPr>
      <w:r>
        <w:rPr>
          <w:color w:val="58595B"/>
          <w:w w:val="105"/>
        </w:rPr>
        <w:t>loops</w:t>
      </w:r>
    </w:p>
    <w:p>
      <w:pPr>
        <w:pStyle w:val="ListParagraph"/>
        <w:numPr>
          <w:ilvl w:val="0"/>
          <w:numId w:val="1"/>
        </w:numPr>
        <w:tabs>
          <w:tab w:pos="1501" w:val="left" w:leader="none"/>
          <w:tab w:pos="1502" w:val="left" w:leader="none"/>
        </w:tabs>
        <w:spacing w:line="270" w:lineRule="atLeast" w:before="0" w:after="0"/>
        <w:ind w:left="1501" w:right="0" w:hanging="399"/>
        <w:jc w:val="left"/>
        <w:rPr>
          <w:sz w:val="22"/>
        </w:rPr>
      </w:pPr>
      <w:r>
        <w:rPr>
          <w:color w:val="58595B"/>
          <w:spacing w:val="-1"/>
          <w:sz w:val="22"/>
        </w:rPr>
        <w:t>upgraded </w:t>
      </w:r>
      <w:r>
        <w:rPr>
          <w:color w:val="58595B"/>
          <w:w w:val="105"/>
          <w:sz w:val="22"/>
        </w:rPr>
        <w:t>lighting</w:t>
      </w:r>
    </w:p>
    <w:p>
      <w:pPr>
        <w:pStyle w:val="BodyText"/>
        <w:spacing w:before="8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"/>
        <w:ind w:left="12"/>
      </w:pPr>
      <w:r>
        <w:rPr>
          <w:color w:val="58595B"/>
          <w:w w:val="105"/>
        </w:rPr>
        <w:t>security</w:t>
      </w:r>
      <w:r>
        <w:rPr>
          <w:color w:val="58595B"/>
          <w:spacing w:val="-26"/>
          <w:w w:val="105"/>
        </w:rPr>
        <w:t> </w:t>
      </w:r>
      <w:r>
        <w:rPr>
          <w:color w:val="58595B"/>
          <w:w w:val="105"/>
        </w:rPr>
        <w:t>cameras</w:t>
      </w:r>
      <w:r>
        <w:rPr>
          <w:color w:val="58595B"/>
          <w:spacing w:val="-26"/>
          <w:w w:val="105"/>
        </w:rPr>
        <w:t> </w:t>
      </w:r>
      <w:r>
        <w:rPr>
          <w:color w:val="58595B"/>
          <w:w w:val="105"/>
        </w:rPr>
        <w:t>and</w:t>
      </w:r>
      <w:r>
        <w:rPr>
          <w:color w:val="58595B"/>
          <w:spacing w:val="-26"/>
          <w:w w:val="105"/>
        </w:rPr>
        <w:t> </w:t>
      </w:r>
      <w:r>
        <w:rPr>
          <w:color w:val="58595B"/>
          <w:w w:val="105"/>
        </w:rPr>
        <w:t>station</w:t>
      </w:r>
    </w:p>
    <w:p>
      <w:pPr>
        <w:pStyle w:val="BodyText"/>
        <w:spacing w:line="297" w:lineRule="auto" w:before="182"/>
        <w:ind w:left="1004" w:right="-5"/>
      </w:pPr>
      <w:r>
        <w:rPr/>
        <w:br w:type="column"/>
      </w:r>
      <w:r>
        <w:rPr>
          <w:color w:val="58595B"/>
        </w:rPr>
        <w:t>Email: </w:t>
      </w:r>
      <w:r>
        <w:rPr>
          <w:color w:val="58595B"/>
          <w:w w:val="105"/>
        </w:rPr>
        <w:t>Post:</w:t>
      </w:r>
    </w:p>
    <w:p>
      <w:pPr>
        <w:pStyle w:val="Heading1"/>
        <w:spacing w:before="166"/>
      </w:pPr>
      <w:r>
        <w:rPr>
          <w:b w:val="0"/>
        </w:rPr>
        <w:br w:type="column"/>
      </w:r>
      <w:hyperlink r:id="rId6">
        <w:r>
          <w:rPr>
            <w:color w:val="58595B"/>
            <w:w w:val="105"/>
          </w:rPr>
          <w:t>stationsupgrade@qr.com.au</w:t>
        </w:r>
      </w:hyperlink>
    </w:p>
    <w:p>
      <w:pPr>
        <w:spacing w:before="60"/>
        <w:ind w:left="703" w:right="0" w:firstLine="0"/>
        <w:jc w:val="left"/>
        <w:rPr>
          <w:b/>
          <w:sz w:val="22"/>
        </w:rPr>
      </w:pPr>
      <w:r>
        <w:rPr>
          <w:b/>
          <w:color w:val="58595B"/>
          <w:w w:val="105"/>
          <w:sz w:val="22"/>
        </w:rPr>
        <w:t>GPO Box 1429, Brisbane, QLD 4000</w:t>
      </w:r>
    </w:p>
    <w:p>
      <w:pPr>
        <w:spacing w:after="0"/>
        <w:jc w:val="left"/>
        <w:rPr>
          <w:sz w:val="22"/>
        </w:rPr>
        <w:sectPr>
          <w:type w:val="continuous"/>
          <w:pgSz w:w="12480" w:h="17410"/>
          <w:pgMar w:top="0" w:bottom="0" w:left="0" w:right="0"/>
          <w:cols w:num="4" w:equalWidth="0">
            <w:col w:w="2413" w:space="40"/>
            <w:col w:w="2733" w:space="40"/>
            <w:col w:w="1580" w:space="40"/>
            <w:col w:w="5634"/>
          </w:cols>
        </w:sectPr>
      </w:pPr>
    </w:p>
    <w:p>
      <w:pPr>
        <w:pStyle w:val="ListParagraph"/>
        <w:numPr>
          <w:ilvl w:val="0"/>
          <w:numId w:val="1"/>
        </w:numPr>
        <w:tabs>
          <w:tab w:pos="1501" w:val="left" w:leader="none"/>
          <w:tab w:pos="1502" w:val="left" w:leader="none"/>
        </w:tabs>
        <w:spacing w:line="240" w:lineRule="auto" w:before="20" w:after="0"/>
        <w:ind w:left="1501" w:right="0" w:hanging="399"/>
        <w:jc w:val="left"/>
        <w:rPr>
          <w:sz w:val="22"/>
        </w:rPr>
      </w:pPr>
      <w:r>
        <w:rPr>
          <w:color w:val="58595B"/>
          <w:sz w:val="22"/>
        </w:rPr>
        <w:t>new wayfinding and platform </w:t>
      </w:r>
      <w:r>
        <w:rPr>
          <w:color w:val="58595B"/>
          <w:spacing w:val="5"/>
          <w:sz w:val="22"/>
        </w:rPr>
        <w:t> </w:t>
      </w:r>
      <w:r>
        <w:rPr>
          <w:color w:val="58595B"/>
          <w:sz w:val="22"/>
        </w:rPr>
        <w:t>signage.</w:t>
      </w:r>
    </w:p>
    <w:p>
      <w:pPr>
        <w:pStyle w:val="BodyText"/>
        <w:spacing w:line="227" w:lineRule="exact"/>
        <w:ind w:left="1078"/>
      </w:pPr>
      <w:r>
        <w:rPr/>
        <w:br w:type="column"/>
      </w:r>
      <w:r>
        <w:rPr>
          <w:color w:val="58595B"/>
        </w:rPr>
        <w:t>Website:</w:t>
      </w:r>
    </w:p>
    <w:p>
      <w:pPr>
        <w:pStyle w:val="Heading1"/>
        <w:spacing w:line="211" w:lineRule="exact"/>
        <w:ind w:left="470"/>
      </w:pPr>
      <w:r>
        <w:rPr>
          <w:b w:val="0"/>
        </w:rPr>
        <w:br w:type="column"/>
      </w:r>
      <w:r>
        <w:rPr>
          <w:color w:val="58595B"/>
          <w:w w:val="105"/>
        </w:rPr>
        <w:t>queenslandrail.com.au</w:t>
      </w:r>
    </w:p>
    <w:p>
      <w:pPr>
        <w:spacing w:after="0" w:line="211" w:lineRule="exact"/>
        <w:sectPr>
          <w:type w:val="continuous"/>
          <w:pgSz w:w="12480" w:h="17410"/>
          <w:pgMar w:top="0" w:bottom="0" w:left="0" w:right="0"/>
          <w:cols w:num="3" w:equalWidth="0">
            <w:col w:w="5111" w:space="40"/>
            <w:col w:w="1886" w:space="40"/>
            <w:col w:w="540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702"/>
        <w:rPr>
          <w:sz w:val="20"/>
        </w:rPr>
      </w:pPr>
      <w:r>
        <w:rPr>
          <w:sz w:val="20"/>
        </w:rPr>
        <w:pict>
          <v:shape style="width:553.4pt;height:42.4pt;mso-position-horizontal-relative:char;mso-position-vertical-relative:line" type="#_x0000_t202" filled="true" fillcolor="#58595b" stroked="false">
            <w10:anchorlock/>
            <v:textbox inset="0,0,0,0">
              <w:txbxContent>
                <w:p>
                  <w:pPr>
                    <w:spacing w:line="252" w:lineRule="auto" w:before="133"/>
                    <w:ind w:left="365" w:right="514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Delivery of Queensland Rail’s $300 million Station Accessibility Upgrade Program will mean about 83% of customers will travel to or from an accessible station.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2480" w:h="17410"/>
          <w:pgMar w:top="0" w:bottom="0" w:left="0" w:right="0"/>
        </w:sectPr>
      </w:pPr>
    </w:p>
    <w:p>
      <w:pPr>
        <w:spacing w:before="135"/>
        <w:ind w:left="1296" w:right="0" w:firstLine="1"/>
        <w:jc w:val="left"/>
        <w:rPr>
          <w:b/>
          <w:sz w:val="15"/>
        </w:rPr>
      </w:pPr>
      <w:r>
        <w:rPr>
          <w:b/>
          <w:color w:val="58595B"/>
          <w:sz w:val="15"/>
        </w:rPr>
        <w:t>Nambour</w:t>
      </w:r>
    </w:p>
    <w:p>
      <w:pPr>
        <w:spacing w:line="254" w:lineRule="auto" w:before="47"/>
        <w:ind w:left="1343" w:right="-18" w:hanging="48"/>
        <w:jc w:val="left"/>
        <w:rPr>
          <w:sz w:val="14"/>
        </w:rPr>
      </w:pPr>
      <w:r>
        <w:rPr>
          <w:color w:val="58595B"/>
          <w:sz w:val="14"/>
        </w:rPr>
        <w:t>Completed Apr 2017</w:t>
      </w:r>
    </w:p>
    <w:p>
      <w:pPr>
        <w:spacing w:before="135"/>
        <w:ind w:left="552" w:right="0" w:firstLine="30"/>
        <w:jc w:val="left"/>
        <w:rPr>
          <w:b/>
          <w:sz w:val="15"/>
        </w:rPr>
      </w:pPr>
      <w:r>
        <w:rPr/>
        <w:br w:type="column"/>
      </w:r>
      <w:r>
        <w:rPr>
          <w:b/>
          <w:color w:val="58595B"/>
          <w:w w:val="105"/>
          <w:sz w:val="15"/>
        </w:rPr>
        <w:t>Dinmore</w:t>
      </w:r>
    </w:p>
    <w:p>
      <w:pPr>
        <w:spacing w:line="254" w:lineRule="auto" w:before="47"/>
        <w:ind w:left="601" w:right="-18" w:hanging="49"/>
        <w:jc w:val="left"/>
        <w:rPr>
          <w:sz w:val="14"/>
        </w:rPr>
      </w:pPr>
      <w:r>
        <w:rPr>
          <w:color w:val="58595B"/>
          <w:sz w:val="14"/>
        </w:rPr>
        <w:t>Completed Jun 2017</w:t>
      </w:r>
    </w:p>
    <w:p>
      <w:pPr>
        <w:spacing w:before="135"/>
        <w:ind w:left="533" w:right="0" w:hanging="10"/>
        <w:jc w:val="left"/>
        <w:rPr>
          <w:b/>
          <w:sz w:val="15"/>
        </w:rPr>
      </w:pPr>
      <w:r>
        <w:rPr/>
        <w:br w:type="column"/>
      </w:r>
      <w:r>
        <w:rPr>
          <w:b/>
          <w:color w:val="58595B"/>
          <w:sz w:val="15"/>
        </w:rPr>
        <w:t>Graceville</w:t>
      </w:r>
    </w:p>
    <w:p>
      <w:pPr>
        <w:spacing w:line="254" w:lineRule="auto" w:before="47"/>
        <w:ind w:left="575" w:right="-9" w:hanging="42"/>
        <w:jc w:val="left"/>
        <w:rPr>
          <w:sz w:val="14"/>
        </w:rPr>
      </w:pPr>
      <w:r>
        <w:rPr>
          <w:color w:val="58595B"/>
          <w:sz w:val="14"/>
        </w:rPr>
        <w:t>Completed Sep 2017</w:t>
      </w:r>
    </w:p>
    <w:p>
      <w:pPr>
        <w:spacing w:before="135"/>
        <w:ind w:left="562" w:right="0" w:hanging="72"/>
        <w:jc w:val="left"/>
        <w:rPr>
          <w:b/>
          <w:sz w:val="15"/>
        </w:rPr>
      </w:pPr>
      <w:r>
        <w:rPr/>
        <w:br w:type="column"/>
      </w:r>
      <w:r>
        <w:rPr>
          <w:b/>
          <w:color w:val="58595B"/>
          <w:sz w:val="15"/>
        </w:rPr>
        <w:t>Newmarket</w:t>
      </w:r>
    </w:p>
    <w:p>
      <w:pPr>
        <w:spacing w:line="254" w:lineRule="auto" w:before="47"/>
        <w:ind w:left="595" w:right="52" w:hanging="33"/>
        <w:jc w:val="left"/>
        <w:rPr>
          <w:sz w:val="14"/>
        </w:rPr>
      </w:pPr>
      <w:r>
        <w:rPr>
          <w:color w:val="58595B"/>
          <w:sz w:val="14"/>
        </w:rPr>
        <w:t>Completed Nov 2017</w:t>
      </w:r>
    </w:p>
    <w:p>
      <w:pPr>
        <w:spacing w:before="135"/>
        <w:ind w:left="490" w:right="0" w:firstLine="44"/>
        <w:jc w:val="left"/>
        <w:rPr>
          <w:b/>
          <w:sz w:val="15"/>
        </w:rPr>
      </w:pPr>
      <w:r>
        <w:rPr/>
        <w:br w:type="column"/>
      </w:r>
      <w:r>
        <w:rPr>
          <w:b/>
          <w:color w:val="58595B"/>
          <w:w w:val="105"/>
          <w:sz w:val="15"/>
        </w:rPr>
        <w:t>Alderley</w:t>
      </w:r>
    </w:p>
    <w:p>
      <w:pPr>
        <w:spacing w:line="254" w:lineRule="auto" w:before="47"/>
        <w:ind w:left="522" w:right="-18" w:hanging="33"/>
        <w:jc w:val="left"/>
        <w:rPr>
          <w:sz w:val="14"/>
        </w:rPr>
      </w:pPr>
      <w:r>
        <w:rPr>
          <w:color w:val="58595B"/>
          <w:sz w:val="14"/>
        </w:rPr>
        <w:t>Completed Nov 2017</w:t>
      </w:r>
    </w:p>
    <w:p>
      <w:pPr>
        <w:spacing w:before="133"/>
        <w:ind w:left="543" w:right="0" w:firstLine="1"/>
        <w:jc w:val="both"/>
        <w:rPr>
          <w:b/>
          <w:sz w:val="15"/>
        </w:rPr>
      </w:pPr>
      <w:r>
        <w:rPr/>
        <w:br w:type="column"/>
      </w:r>
      <w:r>
        <w:rPr>
          <w:b/>
          <w:color w:val="58595B"/>
          <w:sz w:val="15"/>
        </w:rPr>
        <w:t>Strathpine</w:t>
      </w:r>
    </w:p>
    <w:p>
      <w:pPr>
        <w:spacing w:line="254" w:lineRule="auto" w:before="87"/>
        <w:ind w:left="543" w:right="0" w:firstLine="33"/>
        <w:jc w:val="both"/>
        <w:rPr>
          <w:sz w:val="14"/>
        </w:rPr>
      </w:pPr>
      <w:r>
        <w:rPr/>
        <w:pict>
          <v:group style="position:absolute;margin-left:-11.3pt;margin-top:28.402395pt;width:605.15pt;height:68.150pt;mso-position-horizontal-relative:page;mso-position-vertical-relative:paragraph;z-index:-6448" coordorigin="-226,568" coordsize="12103,1363">
            <v:line style="position:absolute" from="-113,681" to="-113,1134" stroked="true" strokeweight="11.276pt" strokecolor="#414042">
              <v:stroke dashstyle="solid"/>
            </v:line>
            <v:shape style="position:absolute;left:0;top:906;width:11651;height:706" coordorigin="0,907" coordsize="11651,706" path="m0,1610l76,1612,11312,1612,11508,1607,11608,1570,11645,1469,11650,1274,11650,1245,11645,1049,11608,949,11508,912,11312,907,76,907e" filled="false" stroked="true" strokeweight="22.552pt" strokecolor="#414042">
              <v:path arrowok="t"/>
              <v:stroke dashstyle="solid"/>
            </v:shape>
            <v:rect style="position:absolute;left:0;top:588;width:7296;height:610" filled="true" fillcolor="#ffffff" stroked="false">
              <v:fill type="solid"/>
            </v:rect>
            <v:rect style="position:absolute;left:850;top:681;width:6445;height:452" filled="true" fillcolor="#bcbec0" stroked="false">
              <v:fill type="solid"/>
            </v:rect>
            <v:shape style="position:absolute;left:616;top:681;width:452;height:453" coordorigin="617,682" coordsize="452,453" path="m842,682l771,693,709,725,660,774,628,836,617,908,628,979,660,1042,709,1091,771,1123,842,1134,914,1123,976,1091,1025,1042,1057,979,1068,908,1057,836,1025,774,976,725,914,693,842,682xe" filled="true" fillcolor="#bcbec0" stroked="false">
              <v:path arrowok="t"/>
              <v:fill type="solid"/>
            </v:shape>
            <v:shape style="position:absolute;left:7095;top:680;width:451;height:452" coordorigin="7096,681" coordsize="451,452" path="m7321,681l7250,692,7188,724,7139,773,7107,835,7096,906,7107,978,7139,1040,7188,1089,7250,1121,7321,1132,7392,1121,7454,1089,7503,1040,7535,978,7546,906,7535,835,7503,773,7454,724,7392,692,7321,681xe" filled="true" fillcolor="#414042" stroked="false">
              <v:path arrowok="t"/>
              <v:fill type="solid"/>
            </v:shape>
            <v:shape style="position:absolute;left:1445;top:738;width:346;height:346" type="#_x0000_t75" stroked="false">
              <v:imagedata r:id="rId7" o:title=""/>
            </v:shape>
            <v:shape style="position:absolute;left:2682;top:738;width:346;height:346" type="#_x0000_t75" stroked="false">
              <v:imagedata r:id="rId7" o:title=""/>
            </v:shape>
            <v:shape style="position:absolute;left:3919;top:738;width:346;height:346" type="#_x0000_t75" stroked="false">
              <v:imagedata r:id="rId7" o:title=""/>
            </v:shape>
            <v:shape style="position:absolute;left:5156;top:738;width:346;height:346" type="#_x0000_t75" stroked="false">
              <v:imagedata r:id="rId7" o:title=""/>
            </v:shape>
            <v:shape style="position:absolute;left:6402;top:738;width:346;height:346" type="#_x0000_t75" stroked="false">
              <v:imagedata r:id="rId7" o:title=""/>
            </v:shape>
            <v:shape style="position:absolute;left:7654;top:738;width:346;height:346" type="#_x0000_t75" stroked="false">
              <v:imagedata r:id="rId8" o:title=""/>
            </v:shape>
            <v:shape style="position:absolute;left:8900;top:730;width:346;height:346" type="#_x0000_t75" stroked="false">
              <v:imagedata r:id="rId8" o:title=""/>
            </v:shape>
            <v:shape style="position:absolute;left:10165;top:738;width:346;height:346" type="#_x0000_t75" stroked="false">
              <v:imagedata r:id="rId8" o:title=""/>
            </v:shape>
            <v:shape style="position:absolute;left:9572;top:1427;width:346;height:346" type="#_x0000_t75" stroked="false">
              <v:imagedata r:id="rId9" o:title=""/>
            </v:shape>
            <v:shape style="position:absolute;left:8250;top:1427;width:346;height:346" type="#_x0000_t75" stroked="false">
              <v:imagedata r:id="rId9" o:title=""/>
            </v:shape>
            <v:shape style="position:absolute;left:7004;top:1427;width:346;height:346" type="#_x0000_t75" stroked="false">
              <v:imagedata r:id="rId9" o:title=""/>
            </v:shape>
            <v:shape style="position:absolute;left:5767;top:1427;width:346;height:346" type="#_x0000_t75" stroked="false">
              <v:imagedata r:id="rId9" o:title=""/>
            </v:shape>
            <v:shape style="position:absolute;left:4527;top:1427;width:346;height:346" type="#_x0000_t75" stroked="false">
              <v:imagedata r:id="rId9" o:title=""/>
            </v:shape>
            <v:shape style="position:absolute;left:3298;top:1427;width:346;height:346" type="#_x0000_t75" stroked="false">
              <v:imagedata r:id="rId9" o:title=""/>
            </v:shape>
            <v:shape style="position:absolute;left:2061;top:1427;width:346;height:346" type="#_x0000_t75" stroked="false">
              <v:imagedata r:id="rId9" o:title=""/>
            </v:shape>
            <v:rect style="position:absolute;left:0;top:1320;width:1301;height:610" filled="true" fillcolor="#ffffff" stroked="false">
              <v:fill type="solid"/>
            </v:rect>
            <v:shape style="position:absolute;left:1097;top:1384;width:452;height:453" coordorigin="1098,1385" coordsize="452,453" path="m1323,1385l1252,1396,1190,1429,1141,1478,1109,1540,1098,1611,1109,1683,1141,1745,1190,1794,1252,1826,1323,1837,1395,1826,1457,1794,1505,1745,1537,1683,1549,1611,1537,1540,1505,1478,1457,1429,1395,1396,1323,1385xe" filled="true" fillcolor="#414042" stroked="false">
              <v:path arrowok="t"/>
              <v:fill type="solid"/>
            </v:shape>
            <v:shape style="position:absolute;left:10803;top:1427;width:346;height:346" type="#_x0000_t75" stroked="false">
              <v:imagedata r:id="rId9" o:title=""/>
            </v:shape>
            <w10:wrap type="none"/>
          </v:group>
        </w:pict>
      </w:r>
      <w:r>
        <w:rPr>
          <w:color w:val="58595B"/>
          <w:sz w:val="14"/>
        </w:rPr>
        <w:t>Early works commenced late 2017</w:t>
      </w:r>
    </w:p>
    <w:p>
      <w:pPr>
        <w:spacing w:before="125"/>
        <w:ind w:left="466" w:right="0" w:hanging="5"/>
        <w:jc w:val="both"/>
        <w:rPr>
          <w:b/>
          <w:sz w:val="15"/>
        </w:rPr>
      </w:pPr>
      <w:r>
        <w:rPr/>
        <w:br w:type="column"/>
      </w:r>
      <w:r>
        <w:rPr>
          <w:b/>
          <w:color w:val="58595B"/>
          <w:sz w:val="15"/>
        </w:rPr>
        <w:t>Morayfield</w:t>
      </w:r>
    </w:p>
    <w:p>
      <w:pPr>
        <w:spacing w:line="254" w:lineRule="auto" w:before="87"/>
        <w:ind w:left="466" w:right="2" w:firstLine="33"/>
        <w:jc w:val="both"/>
        <w:rPr>
          <w:sz w:val="14"/>
        </w:rPr>
      </w:pPr>
      <w:r>
        <w:rPr>
          <w:color w:val="58595B"/>
          <w:sz w:val="14"/>
        </w:rPr>
        <w:t>Early works commenced late 2017</w:t>
      </w:r>
    </w:p>
    <w:p>
      <w:pPr>
        <w:spacing w:before="133"/>
        <w:ind w:left="468" w:right="0" w:firstLine="62"/>
        <w:jc w:val="both"/>
        <w:rPr>
          <w:b/>
          <w:sz w:val="15"/>
        </w:rPr>
      </w:pPr>
      <w:r>
        <w:rPr/>
        <w:br w:type="column"/>
      </w:r>
      <w:r>
        <w:rPr>
          <w:b/>
          <w:color w:val="58595B"/>
          <w:w w:val="105"/>
          <w:sz w:val="15"/>
        </w:rPr>
        <w:t>Boondall</w:t>
      </w:r>
    </w:p>
    <w:p>
      <w:pPr>
        <w:spacing w:line="254" w:lineRule="auto" w:before="87"/>
        <w:ind w:left="468" w:right="1797" w:firstLine="33"/>
        <w:jc w:val="both"/>
        <w:rPr>
          <w:sz w:val="14"/>
        </w:rPr>
      </w:pPr>
      <w:r>
        <w:rPr>
          <w:color w:val="58595B"/>
          <w:sz w:val="14"/>
        </w:rPr>
        <w:t>Early works commenced early 2018</w:t>
      </w:r>
    </w:p>
    <w:p>
      <w:pPr>
        <w:spacing w:after="0" w:line="254" w:lineRule="auto"/>
        <w:jc w:val="both"/>
        <w:rPr>
          <w:sz w:val="14"/>
        </w:rPr>
        <w:sectPr>
          <w:type w:val="continuous"/>
          <w:pgSz w:w="12480" w:h="17410"/>
          <w:pgMar w:top="0" w:bottom="0" w:left="0" w:right="0"/>
          <w:cols w:num="8" w:equalWidth="0">
            <w:col w:w="1941" w:space="40"/>
            <w:col w:w="1198" w:space="40"/>
            <w:col w:w="1188" w:space="40"/>
            <w:col w:w="1278" w:space="40"/>
            <w:col w:w="1135" w:space="40"/>
            <w:col w:w="1268" w:space="40"/>
            <w:col w:w="1196" w:space="40"/>
            <w:col w:w="2996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812.692993pt;width:623.65pt;height:57.55pt;mso-position-horizontal-relative:page;mso-position-vertical-relative:page;z-index:-6472" coordorigin="0,16254" coordsize="12473,1151">
            <v:rect style="position:absolute;left:0;top:16253;width:12473;height:1151" filled="true" fillcolor="#d92231" stroked="false">
              <v:fill type="solid"/>
            </v:rect>
            <v:shape style="position:absolute;left:8341;top:16508;width:3429;height:388" type="#_x0000_t75" stroked="false">
              <v:imagedata r:id="rId10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169"/>
        <w:gridCol w:w="1299"/>
        <w:gridCol w:w="1185"/>
        <w:gridCol w:w="1266"/>
        <w:gridCol w:w="1263"/>
        <w:gridCol w:w="1318"/>
        <w:gridCol w:w="1032"/>
      </w:tblGrid>
      <w:tr>
        <w:trPr>
          <w:trHeight w:val="220" w:hRule="atLeast"/>
        </w:trPr>
        <w:tc>
          <w:tcPr>
            <w:tcW w:w="1028" w:type="dxa"/>
          </w:tcPr>
          <w:p>
            <w:pPr>
              <w:pStyle w:val="TableParagraph"/>
              <w:ind w:right="191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Albion</w:t>
            </w:r>
          </w:p>
        </w:tc>
        <w:tc>
          <w:tcPr>
            <w:tcW w:w="1169" w:type="dxa"/>
          </w:tcPr>
          <w:p>
            <w:pPr>
              <w:pStyle w:val="TableParagraph"/>
              <w:ind w:left="192" w:right="173"/>
              <w:rPr>
                <w:b/>
                <w:sz w:val="15"/>
              </w:rPr>
            </w:pPr>
            <w:r>
              <w:rPr>
                <w:b/>
                <w:color w:val="58595B"/>
                <w:sz w:val="15"/>
              </w:rPr>
              <w:t>Fairfield</w:t>
            </w:r>
          </w:p>
        </w:tc>
        <w:tc>
          <w:tcPr>
            <w:tcW w:w="1299" w:type="dxa"/>
          </w:tcPr>
          <w:p>
            <w:pPr>
              <w:pStyle w:val="TableParagraph"/>
              <w:ind w:left="160" w:right="150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Auchenflower</w:t>
            </w:r>
          </w:p>
        </w:tc>
        <w:tc>
          <w:tcPr>
            <w:tcW w:w="1185" w:type="dxa"/>
          </w:tcPr>
          <w:p>
            <w:pPr>
              <w:pStyle w:val="TableParagraph"/>
              <w:ind w:left="251"/>
              <w:jc w:val="left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Loganlea</w:t>
            </w:r>
          </w:p>
        </w:tc>
        <w:tc>
          <w:tcPr>
            <w:tcW w:w="1266" w:type="dxa"/>
          </w:tcPr>
          <w:p>
            <w:pPr>
              <w:pStyle w:val="TableParagraph"/>
              <w:ind w:left="211" w:right="214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Cannon Hill</w:t>
            </w:r>
          </w:p>
        </w:tc>
        <w:tc>
          <w:tcPr>
            <w:tcW w:w="1263" w:type="dxa"/>
          </w:tcPr>
          <w:p>
            <w:pPr>
              <w:pStyle w:val="TableParagraph"/>
              <w:ind w:left="226" w:right="234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Buranda</w:t>
            </w:r>
          </w:p>
        </w:tc>
        <w:tc>
          <w:tcPr>
            <w:tcW w:w="1318" w:type="dxa"/>
          </w:tcPr>
          <w:p>
            <w:pPr>
              <w:pStyle w:val="TableParagraph"/>
              <w:ind w:left="225" w:right="187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East Ipswich</w:t>
            </w:r>
          </w:p>
        </w:tc>
        <w:tc>
          <w:tcPr>
            <w:tcW w:w="1032" w:type="dxa"/>
          </w:tcPr>
          <w:p>
            <w:pPr>
              <w:pStyle w:val="TableParagraph"/>
              <w:ind w:left="196" w:right="32"/>
              <w:rPr>
                <w:b/>
                <w:sz w:val="15"/>
              </w:rPr>
            </w:pPr>
            <w:r>
              <w:rPr>
                <w:b/>
                <w:color w:val="58595B"/>
                <w:w w:val="105"/>
                <w:sz w:val="15"/>
              </w:rPr>
              <w:t>Dakabin</w:t>
            </w:r>
          </w:p>
        </w:tc>
      </w:tr>
      <w:tr>
        <w:trPr>
          <w:trHeight w:val="200" w:hRule="atLeast"/>
        </w:trPr>
        <w:tc>
          <w:tcPr>
            <w:tcW w:w="1028" w:type="dxa"/>
          </w:tcPr>
          <w:p>
            <w:pPr>
              <w:pStyle w:val="TableParagraph"/>
              <w:spacing w:line="140" w:lineRule="exact" w:before="50"/>
              <w:ind w:right="191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169" w:type="dxa"/>
          </w:tcPr>
          <w:p>
            <w:pPr>
              <w:pStyle w:val="TableParagraph"/>
              <w:spacing w:line="140" w:lineRule="exact" w:before="50"/>
              <w:ind w:left="192" w:right="173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299" w:type="dxa"/>
          </w:tcPr>
          <w:p>
            <w:pPr>
              <w:pStyle w:val="TableParagraph"/>
              <w:spacing w:line="140" w:lineRule="exact" w:before="50"/>
              <w:ind w:left="160" w:right="150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185" w:type="dxa"/>
          </w:tcPr>
          <w:p>
            <w:pPr>
              <w:pStyle w:val="TableParagraph"/>
              <w:spacing w:line="140" w:lineRule="exact" w:before="50"/>
              <w:ind w:left="181"/>
              <w:jc w:val="left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266" w:type="dxa"/>
          </w:tcPr>
          <w:p>
            <w:pPr>
              <w:pStyle w:val="TableParagraph"/>
              <w:spacing w:line="140" w:lineRule="exact" w:before="50"/>
              <w:ind w:left="211" w:right="214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263" w:type="dxa"/>
          </w:tcPr>
          <w:p>
            <w:pPr>
              <w:pStyle w:val="TableParagraph"/>
              <w:spacing w:line="140" w:lineRule="exact" w:before="50"/>
              <w:ind w:left="226" w:right="234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318" w:type="dxa"/>
          </w:tcPr>
          <w:p>
            <w:pPr>
              <w:pStyle w:val="TableParagraph"/>
              <w:spacing w:line="140" w:lineRule="exact" w:before="50"/>
              <w:ind w:left="225" w:right="187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  <w:tc>
          <w:tcPr>
            <w:tcW w:w="1032" w:type="dxa"/>
          </w:tcPr>
          <w:p>
            <w:pPr>
              <w:pStyle w:val="TableParagraph"/>
              <w:spacing w:line="140" w:lineRule="exact" w:before="50"/>
              <w:ind w:left="196" w:right="32"/>
              <w:rPr>
                <w:sz w:val="14"/>
              </w:rPr>
            </w:pPr>
            <w:r>
              <w:rPr>
                <w:color w:val="58595B"/>
                <w:sz w:val="14"/>
              </w:rPr>
              <w:t>Design stage</w:t>
            </w:r>
          </w:p>
        </w:tc>
      </w:tr>
    </w:tbl>
    <w:sectPr>
      <w:type w:val="continuous"/>
      <w:pgSz w:w="12480" w:h="1741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S Albert Pro">
    <w:altName w:val="FS Albert Pro"/>
    <w:charset w:val="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501" w:hanging="400"/>
      </w:pPr>
      <w:rPr>
        <w:rFonts w:hint="default" w:ascii="FS Albert Pro" w:hAnsi="FS Albert Pro" w:eastAsia="FS Albert Pro" w:cs="FS Albert Pro"/>
        <w:color w:val="58595B"/>
        <w:w w:val="102"/>
        <w:sz w:val="22"/>
        <w:szCs w:val="22"/>
      </w:rPr>
    </w:lvl>
    <w:lvl w:ilvl="1">
      <w:start w:val="0"/>
      <w:numFmt w:val="bullet"/>
      <w:lvlText w:val="•"/>
      <w:lvlJc w:val="left"/>
      <w:pPr>
        <w:ind w:left="1920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1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1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82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03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23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44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65" w:hanging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S Albert Pro" w:hAnsi="FS Albert Pro" w:eastAsia="FS Albert Pro" w:cs="FS Albert Pro"/>
    </w:rPr>
  </w:style>
  <w:style w:styleId="BodyText" w:type="paragraph">
    <w:name w:val="Body Text"/>
    <w:basedOn w:val="Normal"/>
    <w:uiPriority w:val="1"/>
    <w:qFormat/>
    <w:pPr/>
    <w:rPr>
      <w:rFonts w:ascii="FS Albert Pro" w:hAnsi="FS Albert Pro" w:eastAsia="FS Albert Pro" w:cs="FS Albert Pro"/>
      <w:sz w:val="22"/>
      <w:szCs w:val="22"/>
    </w:rPr>
  </w:style>
  <w:style w:styleId="Heading1" w:type="paragraph">
    <w:name w:val="Heading 1"/>
    <w:basedOn w:val="Normal"/>
    <w:uiPriority w:val="1"/>
    <w:qFormat/>
    <w:pPr>
      <w:ind w:left="703"/>
      <w:outlineLvl w:val="1"/>
    </w:pPr>
    <w:rPr>
      <w:rFonts w:ascii="FS Albert Pro" w:hAnsi="FS Albert Pro" w:eastAsia="FS Albert Pro" w:cs="FS Albert Pro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501" w:hanging="399"/>
    </w:pPr>
    <w:rPr>
      <w:rFonts w:ascii="FS Albert Pro" w:hAnsi="FS Albert Pro" w:eastAsia="FS Albert Pro" w:cs="FS Albert Pro"/>
    </w:rPr>
  </w:style>
  <w:style w:styleId="TableParagraph" w:type="paragraph">
    <w:name w:val="Table Paragraph"/>
    <w:basedOn w:val="Normal"/>
    <w:uiPriority w:val="1"/>
    <w:qFormat/>
    <w:pPr>
      <w:spacing w:before="24"/>
      <w:ind w:left="33"/>
      <w:jc w:val="center"/>
    </w:pPr>
    <w:rPr>
      <w:rFonts w:ascii="FS Albert Pro" w:hAnsi="FS Albert Pro" w:eastAsia="FS Albert Pro" w:cs="FS Albert Pr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tationsupgrade@qr.com.au" TargetMode="External"/><Relationship Id="rId1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D4FD2-DCF1-4CA3-8BC7-9060F12442EF}"/>
</file>

<file path=customXml/itemProps2.xml><?xml version="1.0" encoding="utf-8"?>
<ds:datastoreItem xmlns:ds="http://schemas.openxmlformats.org/officeDocument/2006/customXml" ds:itemID="{F39FBB97-A5D3-4257-8484-75E8866DD13A}"/>
</file>

<file path=customXml/itemProps3.xml><?xml version="1.0" encoding="utf-8"?>
<ds:datastoreItem xmlns:ds="http://schemas.openxmlformats.org/officeDocument/2006/customXml" ds:itemID="{0398142A-9E84-4378-9DF2-3BF69B689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2018-05-23T13:20:37Z</dcterms:created>
  <dcterms:modified xsi:type="dcterms:W3CDTF">2018-05-23T13:20:37Z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2018-05-23T00:00:00Z</vt:filetime>
  </property>
  <property fmtid="{D5CDD505-2E9C-101B-9397-08002B2CF9AE}" pid="5" name="ContentTypeId">
    <vt:lpwstr>0x010100A2ED94B99AC6E543AC366244A9AF2AE0</vt:lpwstr>
  </property>
</Properties>
</file>