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92"/>
        <w:ind w:left="702" w:right="414" w:firstLine="0"/>
        <w:jc w:val="left"/>
        <w:rPr>
          <w:b/>
          <w:sz w:val="28"/>
        </w:rPr>
      </w:pPr>
      <w:r>
        <w:rPr/>
        <w:pict>
          <v:group style="position:absolute;margin-left:0pt;margin-top:-322.2034pt;width:623.65pt;height:321.350pt;mso-position-horizontal-relative:page;mso-position-vertical-relative:paragraph;z-index:1120" coordorigin="0,-6444" coordsize="12473,6427">
            <v:shape style="position:absolute;left:12;top:-6445;width:12460;height:5409" type="#_x0000_t75" stroked="false">
              <v:imagedata r:id="rId5" o:title=""/>
            </v:shape>
            <v:rect style="position:absolute;left:0;top:-1626;width:12473;height:1199" filled="true" fillcolor="#e3183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6;top:-6064;width:3387;height:369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AUCHENFLOWER 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STATION</w:t>
                    </w:r>
                  </w:p>
                </w:txbxContent>
              </v:textbox>
              <w10:wrap type="none"/>
            </v:shape>
            <v:shape style="position:absolute;left:0;top:-1626;width:12473;height:1199" type="#_x0000_t202" filled="false" stroked="false">
              <v:textbox inset="0,0,0,0">
                <w:txbxContent>
                  <w:p>
                    <w:pPr>
                      <w:spacing w:before="288"/>
                      <w:ind w:left="702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FFFFFF"/>
                        <w:sz w:val="63"/>
                      </w:rPr>
                      <w:t>Station Accessibility Upgrade</w:t>
                    </w:r>
                    <w:r>
                      <w:rPr>
                        <w:b/>
                        <w:color w:val="FFFFFF"/>
                        <w:spacing w:val="60"/>
                        <w:sz w:val="63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63"/>
                      </w:rPr>
                      <w:t>Program</w:t>
                    </w:r>
                  </w:p>
                </w:txbxContent>
              </v:textbox>
              <w10:wrap type="none"/>
            </v:shape>
            <v:shape style="position:absolute;left:0;top:-427;width:12473;height:410" type="#_x0000_t202" filled="true" fillcolor="#58595b" stroked="false">
              <v:textbox inset="0,0,0,0">
                <w:txbxContent>
                  <w:p>
                    <w:pPr>
                      <w:spacing w:before="39"/>
                      <w:ind w:left="0" w:right="700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 UPDATE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58595B"/>
          <w:sz w:val="28"/>
        </w:rPr>
        <w:t>Queensland Rail is striving to become a modern, customer-focused rail service and is investing $300 million to upgrade stations, making them accessible for all customers.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480" w:h="17410"/>
          <w:pgMar w:top="0" w:bottom="0" w:left="0" w:right="0"/>
        </w:sectPr>
      </w:pPr>
    </w:p>
    <w:p>
      <w:pPr>
        <w:pStyle w:val="BodyText"/>
        <w:spacing w:line="259" w:lineRule="auto" w:before="136"/>
        <w:ind w:left="702"/>
      </w:pPr>
      <w:r>
        <w:rPr>
          <w:color w:val="58595B"/>
        </w:rPr>
        <w:t>As part of the Station Accessibility Upgrade Program, Queensland Rail is making improvements to Auchenflower station.</w:t>
      </w:r>
    </w:p>
    <w:p>
      <w:pPr>
        <w:pStyle w:val="BodyText"/>
        <w:spacing w:before="159"/>
        <w:ind w:left="702"/>
      </w:pPr>
      <w:r>
        <w:rPr>
          <w:color w:val="58595B"/>
        </w:rPr>
        <w:t>These  improvements include: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40" w:lineRule="auto" w:before="139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a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new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pedestrian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footbridge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with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lift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access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9" w:lineRule="auto" w:before="19" w:after="0"/>
        <w:ind w:left="1501" w:right="767" w:hanging="399"/>
        <w:jc w:val="left"/>
        <w:rPr>
          <w:sz w:val="22"/>
        </w:rPr>
      </w:pPr>
      <w:r>
        <w:rPr>
          <w:color w:val="58595B"/>
          <w:w w:val="105"/>
          <w:sz w:val="22"/>
        </w:rPr>
        <w:t>raised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section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of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platform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at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assisted </w:t>
      </w:r>
      <w:r>
        <w:rPr>
          <w:color w:val="58595B"/>
          <w:sz w:val="22"/>
        </w:rPr>
        <w:t>boarding</w:t>
      </w:r>
      <w:r>
        <w:rPr>
          <w:color w:val="58595B"/>
          <w:spacing w:val="31"/>
          <w:sz w:val="22"/>
        </w:rPr>
        <w:t> </w:t>
      </w:r>
      <w:r>
        <w:rPr>
          <w:color w:val="58595B"/>
          <w:sz w:val="22"/>
        </w:rPr>
        <w:t>points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32" w:lineRule="exact" w:before="0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tactiles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hearing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augmentation</w:t>
      </w:r>
    </w:p>
    <w:p>
      <w:pPr>
        <w:pStyle w:val="BodyText"/>
        <w:spacing w:line="259" w:lineRule="auto" w:before="163"/>
        <w:ind w:left="435" w:right="689"/>
      </w:pPr>
      <w:r>
        <w:rPr/>
        <w:br w:type="column"/>
      </w:r>
      <w:r>
        <w:rPr>
          <w:color w:val="58595B"/>
          <w:spacing w:val="-3"/>
          <w:w w:val="105"/>
        </w:rPr>
        <w:t>The </w:t>
      </w:r>
      <w:r>
        <w:rPr>
          <w:color w:val="58595B"/>
          <w:w w:val="105"/>
        </w:rPr>
        <w:t>project is currently in the design phase. As we move through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design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construction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phases,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will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ensure 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keep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local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residents,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customers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community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groups well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informed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project’s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progress.</w:t>
      </w:r>
    </w:p>
    <w:p>
      <w:pPr>
        <w:pStyle w:val="BodyText"/>
        <w:spacing w:line="259" w:lineRule="auto" w:before="159"/>
        <w:ind w:left="435" w:right="812"/>
      </w:pPr>
      <w:r>
        <w:rPr>
          <w:color w:val="58595B"/>
          <w:w w:val="105"/>
        </w:rPr>
        <w:t>Artist’s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impressions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are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now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available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detailed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design is getting</w:t>
      </w:r>
      <w:r>
        <w:rPr>
          <w:color w:val="58595B"/>
          <w:spacing w:val="-39"/>
          <w:w w:val="105"/>
        </w:rPr>
        <w:t> </w:t>
      </w:r>
      <w:r>
        <w:rPr>
          <w:color w:val="58595B"/>
          <w:spacing w:val="-3"/>
          <w:w w:val="105"/>
        </w:rPr>
        <w:t>underway.</w:t>
      </w:r>
    </w:p>
    <w:p>
      <w:pPr>
        <w:pStyle w:val="BodyText"/>
        <w:spacing w:before="159"/>
        <w:ind w:left="435"/>
      </w:pPr>
      <w:r>
        <w:rPr>
          <w:color w:val="58595B"/>
          <w:w w:val="105"/>
        </w:rPr>
        <w:t>For further information or to provide feedback:</w:t>
      </w:r>
    </w:p>
    <w:p>
      <w:pPr>
        <w:spacing w:after="0"/>
        <w:sectPr>
          <w:type w:val="continuous"/>
          <w:pgSz w:w="12480" w:h="17410"/>
          <w:pgMar w:top="0" w:bottom="0" w:left="0" w:right="0"/>
          <w:cols w:num="2" w:equalWidth="0">
            <w:col w:w="5754" w:space="40"/>
            <w:col w:w="6686"/>
          </w:cols>
        </w:sectPr>
      </w:pPr>
    </w:p>
    <w:p>
      <w:pPr>
        <w:pStyle w:val="BodyText"/>
        <w:spacing w:before="39"/>
        <w:ind w:left="1501"/>
      </w:pPr>
      <w:r>
        <w:rPr>
          <w:color w:val="58595B"/>
          <w:w w:val="105"/>
        </w:rPr>
        <w:t>loops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9" w:lineRule="auto" w:before="19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security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cameras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station lighting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1" w:lineRule="exact" w:before="0" w:after="0"/>
        <w:ind w:left="1501" w:right="0" w:hanging="399"/>
        <w:jc w:val="left"/>
        <w:rPr>
          <w:sz w:val="22"/>
        </w:rPr>
      </w:pPr>
      <w:r>
        <w:rPr>
          <w:color w:val="58595B"/>
          <w:sz w:val="22"/>
        </w:rPr>
        <w:t>new wayfinding and platform </w:t>
      </w:r>
      <w:r>
        <w:rPr>
          <w:color w:val="58595B"/>
          <w:spacing w:val="5"/>
          <w:sz w:val="22"/>
        </w:rPr>
        <w:t> </w:t>
      </w:r>
      <w:r>
        <w:rPr>
          <w:color w:val="58595B"/>
          <w:sz w:val="22"/>
        </w:rPr>
        <w:t>signage.</w:t>
      </w:r>
    </w:p>
    <w:p>
      <w:pPr>
        <w:pStyle w:val="BodyText"/>
        <w:spacing w:line="297" w:lineRule="auto" w:before="36"/>
        <w:ind w:left="1004" w:right="-12"/>
      </w:pPr>
      <w:r>
        <w:rPr/>
        <w:br w:type="column"/>
      </w:r>
      <w:r>
        <w:rPr>
          <w:color w:val="58595B"/>
          <w:w w:val="105"/>
        </w:rPr>
        <w:t>Phone: Email: Post: </w:t>
      </w:r>
      <w:r>
        <w:rPr>
          <w:color w:val="58595B"/>
        </w:rPr>
        <w:t>Website:</w:t>
      </w:r>
    </w:p>
    <w:p>
      <w:pPr>
        <w:spacing w:before="55"/>
        <w:ind w:left="470" w:right="0" w:firstLine="0"/>
        <w:jc w:val="left"/>
        <w:rPr>
          <w:sz w:val="22"/>
        </w:rPr>
      </w:pPr>
      <w:r>
        <w:rPr/>
        <w:br w:type="column"/>
      </w:r>
      <w:r>
        <w:rPr>
          <w:b/>
          <w:color w:val="58595B"/>
          <w:w w:val="105"/>
          <w:sz w:val="22"/>
        </w:rPr>
        <w:t>1800 722 203 </w:t>
      </w:r>
      <w:r>
        <w:rPr>
          <w:color w:val="58595B"/>
          <w:w w:val="105"/>
          <w:sz w:val="22"/>
        </w:rPr>
        <w:t>(free call)</w:t>
      </w:r>
    </w:p>
    <w:p>
      <w:pPr>
        <w:pStyle w:val="Heading1"/>
      </w:pPr>
      <w:hyperlink r:id="rId6">
        <w:r>
          <w:rPr>
            <w:color w:val="58595B"/>
            <w:w w:val="105"/>
          </w:rPr>
          <w:t>stationsupgrade@qr.com.au</w:t>
        </w:r>
      </w:hyperlink>
    </w:p>
    <w:p>
      <w:pPr>
        <w:spacing w:line="297" w:lineRule="auto" w:before="59"/>
        <w:ind w:left="470" w:right="1356" w:firstLine="0"/>
        <w:jc w:val="left"/>
        <w:rPr>
          <w:b/>
          <w:sz w:val="22"/>
        </w:rPr>
      </w:pPr>
      <w:r>
        <w:rPr>
          <w:b/>
          <w:color w:val="58595B"/>
          <w:w w:val="105"/>
          <w:sz w:val="22"/>
        </w:rPr>
        <w:t>GPO Box 1429, Brisbane, QLD 4000 queenslandrail.com.au</w:t>
      </w:r>
    </w:p>
    <w:p>
      <w:pPr>
        <w:spacing w:after="0" w:line="297" w:lineRule="auto"/>
        <w:jc w:val="left"/>
        <w:rPr>
          <w:sz w:val="22"/>
        </w:rPr>
        <w:sectPr>
          <w:type w:val="continuous"/>
          <w:pgSz w:w="12480" w:h="17410"/>
          <w:pgMar w:top="0" w:bottom="0" w:left="0" w:right="0"/>
          <w:cols w:num="3" w:equalWidth="0">
            <w:col w:w="5185" w:space="40"/>
            <w:col w:w="1812" w:space="40"/>
            <w:col w:w="54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702"/>
        <w:rPr>
          <w:sz w:val="20"/>
        </w:rPr>
      </w:pPr>
      <w:r>
        <w:rPr>
          <w:sz w:val="20"/>
        </w:rPr>
        <w:pict>
          <v:shape style="width:553.4pt;height:42.4pt;mso-position-horizontal-relative:char;mso-position-vertical-relative:line" type="#_x0000_t202" filled="true" fillcolor="#58595b" stroked="false">
            <w10:anchorlock/>
            <v:textbox inset="0,0,0,0">
              <w:txbxContent>
                <w:p>
                  <w:pPr>
                    <w:spacing w:line="252" w:lineRule="auto" w:before="133"/>
                    <w:ind w:left="365" w:right="51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Delivery of Queensland Rail’s $300 million Station Accessibility Upgrade Program will mean about 83% of customers will travel to or from an accessible station.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480" w:h="17410"/>
          <w:pgMar w:top="0" w:bottom="0" w:left="0" w:right="0"/>
        </w:sectPr>
      </w:pPr>
    </w:p>
    <w:p>
      <w:pPr>
        <w:spacing w:before="135"/>
        <w:ind w:left="1296" w:right="0" w:firstLine="1"/>
        <w:jc w:val="left"/>
        <w:rPr>
          <w:b/>
          <w:sz w:val="15"/>
        </w:rPr>
      </w:pPr>
      <w:r>
        <w:rPr>
          <w:b/>
          <w:color w:val="58595B"/>
          <w:sz w:val="15"/>
        </w:rPr>
        <w:t>Nambour</w:t>
      </w:r>
    </w:p>
    <w:p>
      <w:pPr>
        <w:spacing w:line="254" w:lineRule="auto" w:before="47"/>
        <w:ind w:left="1343" w:right="-18" w:hanging="48"/>
        <w:jc w:val="left"/>
        <w:rPr>
          <w:sz w:val="14"/>
        </w:rPr>
      </w:pPr>
      <w:r>
        <w:rPr>
          <w:color w:val="58595B"/>
          <w:sz w:val="14"/>
        </w:rPr>
        <w:t>Completed Apr 2017</w:t>
      </w:r>
    </w:p>
    <w:p>
      <w:pPr>
        <w:spacing w:before="135"/>
        <w:ind w:left="552" w:right="0" w:firstLine="3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Dinmore</w:t>
      </w:r>
    </w:p>
    <w:p>
      <w:pPr>
        <w:spacing w:line="254" w:lineRule="auto" w:before="47"/>
        <w:ind w:left="601" w:right="-18" w:hanging="49"/>
        <w:jc w:val="left"/>
        <w:rPr>
          <w:sz w:val="14"/>
        </w:rPr>
      </w:pPr>
      <w:r>
        <w:rPr>
          <w:color w:val="58595B"/>
          <w:sz w:val="14"/>
        </w:rPr>
        <w:t>Completed Jun 2017</w:t>
      </w:r>
    </w:p>
    <w:p>
      <w:pPr>
        <w:spacing w:before="135"/>
        <w:ind w:left="533" w:right="0" w:hanging="1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Graceville</w:t>
      </w:r>
    </w:p>
    <w:p>
      <w:pPr>
        <w:spacing w:line="254" w:lineRule="auto" w:before="47"/>
        <w:ind w:left="575" w:right="-9" w:hanging="42"/>
        <w:jc w:val="left"/>
        <w:rPr>
          <w:sz w:val="14"/>
        </w:rPr>
      </w:pPr>
      <w:r>
        <w:rPr>
          <w:color w:val="58595B"/>
          <w:sz w:val="14"/>
        </w:rPr>
        <w:t>Completed Sep 2017</w:t>
      </w:r>
    </w:p>
    <w:p>
      <w:pPr>
        <w:spacing w:before="135"/>
        <w:ind w:left="562" w:right="0" w:hanging="72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Newmarket</w:t>
      </w:r>
    </w:p>
    <w:p>
      <w:pPr>
        <w:spacing w:line="254" w:lineRule="auto" w:before="47"/>
        <w:ind w:left="595" w:right="52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5"/>
        <w:ind w:left="490" w:right="0" w:firstLine="44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Alderley</w:t>
      </w:r>
    </w:p>
    <w:p>
      <w:pPr>
        <w:spacing w:line="254" w:lineRule="auto" w:before="47"/>
        <w:ind w:left="522" w:right="-18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3"/>
        <w:ind w:left="543" w:right="0" w:firstLine="1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Strathpine</w:t>
      </w:r>
    </w:p>
    <w:p>
      <w:pPr>
        <w:spacing w:line="254" w:lineRule="auto" w:before="87"/>
        <w:ind w:left="543" w:right="0" w:firstLine="33"/>
        <w:jc w:val="both"/>
        <w:rPr>
          <w:sz w:val="14"/>
        </w:rPr>
      </w:pPr>
      <w:r>
        <w:rPr/>
        <w:pict>
          <v:group style="position:absolute;margin-left:-11.3pt;margin-top:28.402395pt;width:605.15pt;height:68.150pt;mso-position-horizontal-relative:page;mso-position-vertical-relative:paragraph;z-index:-6232" coordorigin="-226,568" coordsize="12103,1363">
            <v:line style="position:absolute" from="-113,681" to="-113,1134" stroked="true" strokeweight="11.276pt" strokecolor="#414042">
              <v:stroke dashstyle="solid"/>
            </v:line>
            <v:shape style="position:absolute;left:0;top:906;width:11651;height:706" coordorigin="0,907" coordsize="11651,706" path="m0,1610l76,1612,11312,1612,11508,1607,11608,1570,11645,1469,11650,1274,11650,1245,11645,1049,11608,949,11508,912,11312,907,76,907e" filled="false" stroked="true" strokeweight="22.552pt" strokecolor="#414042">
              <v:path arrowok="t"/>
              <v:stroke dashstyle="solid"/>
            </v:shape>
            <v:rect style="position:absolute;left:0;top:588;width:7296;height:610" filled="true" fillcolor="#ffffff" stroked="false">
              <v:fill type="solid"/>
            </v:rect>
            <v:rect style="position:absolute;left:850;top:681;width:6445;height:452" filled="true" fillcolor="#bcbec0" stroked="false">
              <v:fill type="solid"/>
            </v:rect>
            <v:shape style="position:absolute;left:616;top:681;width:452;height:453" coordorigin="617,682" coordsize="452,453" path="m842,682l771,693,709,725,660,774,628,836,617,908,628,979,660,1042,709,1091,771,1123,842,1134,914,1123,976,1091,1025,1042,1057,979,1068,908,1057,836,1025,774,976,725,914,693,842,682xe" filled="true" fillcolor="#bcbec0" stroked="false">
              <v:path arrowok="t"/>
              <v:fill type="solid"/>
            </v:shape>
            <v:shape style="position:absolute;left:7095;top:680;width:451;height:452" coordorigin="7096,681" coordsize="451,452" path="m7321,681l7250,692,7188,724,7139,773,7107,835,7096,906,7107,978,7139,1040,7188,1089,7250,1121,7321,1132,7392,1121,7454,1089,7503,1040,7535,978,7546,906,7535,835,7503,773,7454,724,7392,692,7321,681xe" filled="true" fillcolor="#414042" stroked="false">
              <v:path arrowok="t"/>
              <v:fill type="solid"/>
            </v:shape>
            <v:shape style="position:absolute;left:1445;top:738;width:346;height:346" type="#_x0000_t75" stroked="false">
              <v:imagedata r:id="rId7" o:title=""/>
            </v:shape>
            <v:shape style="position:absolute;left:2682;top:738;width:346;height:346" type="#_x0000_t75" stroked="false">
              <v:imagedata r:id="rId7" o:title=""/>
            </v:shape>
            <v:shape style="position:absolute;left:3919;top:738;width:346;height:346" type="#_x0000_t75" stroked="false">
              <v:imagedata r:id="rId7" o:title=""/>
            </v:shape>
            <v:shape style="position:absolute;left:5156;top:738;width:346;height:346" type="#_x0000_t75" stroked="false">
              <v:imagedata r:id="rId7" o:title=""/>
            </v:shape>
            <v:shape style="position:absolute;left:6402;top:738;width:346;height:346" type="#_x0000_t75" stroked="false">
              <v:imagedata r:id="rId7" o:title=""/>
            </v:shape>
            <v:shape style="position:absolute;left:7654;top:738;width:346;height:346" type="#_x0000_t75" stroked="false">
              <v:imagedata r:id="rId8" o:title=""/>
            </v:shape>
            <v:shape style="position:absolute;left:8900;top:730;width:346;height:346" type="#_x0000_t75" stroked="false">
              <v:imagedata r:id="rId8" o:title=""/>
            </v:shape>
            <v:shape style="position:absolute;left:10165;top:738;width:346;height:346" type="#_x0000_t75" stroked="false">
              <v:imagedata r:id="rId8" o:title=""/>
            </v:shape>
            <v:shape style="position:absolute;left:9572;top:1427;width:346;height:346" type="#_x0000_t75" stroked="false">
              <v:imagedata r:id="rId9" o:title=""/>
            </v:shape>
            <v:shape style="position:absolute;left:8250;top:1427;width:346;height:346" type="#_x0000_t75" stroked="false">
              <v:imagedata r:id="rId9" o:title=""/>
            </v:shape>
            <v:shape style="position:absolute;left:7004;top:1427;width:346;height:346" type="#_x0000_t75" stroked="false">
              <v:imagedata r:id="rId9" o:title=""/>
            </v:shape>
            <v:shape style="position:absolute;left:5767;top:1427;width:346;height:346" type="#_x0000_t75" stroked="false">
              <v:imagedata r:id="rId9" o:title=""/>
            </v:shape>
            <v:shape style="position:absolute;left:4527;top:1427;width:346;height:346" type="#_x0000_t75" stroked="false">
              <v:imagedata r:id="rId9" o:title=""/>
            </v:shape>
            <v:shape style="position:absolute;left:3298;top:1427;width:346;height:346" type="#_x0000_t75" stroked="false">
              <v:imagedata r:id="rId9" o:title=""/>
            </v:shape>
            <v:shape style="position:absolute;left:2061;top:1427;width:346;height:346" type="#_x0000_t75" stroked="false">
              <v:imagedata r:id="rId9" o:title=""/>
            </v:shape>
            <v:rect style="position:absolute;left:0;top:1320;width:1301;height:610" filled="true" fillcolor="#ffffff" stroked="false">
              <v:fill type="solid"/>
            </v:rect>
            <v:shape style="position:absolute;left:1097;top:1384;width:452;height:453" coordorigin="1098,1385" coordsize="452,453" path="m1323,1385l1252,1396,1190,1429,1141,1478,1109,1540,1098,1611,1109,1683,1141,1745,1190,1794,1252,1826,1323,1837,1395,1826,1457,1794,1505,1745,1537,1683,1549,1611,1537,1540,1505,1478,1457,1429,1395,1396,1323,1385xe" filled="true" fillcolor="#414042" stroked="false">
              <v:path arrowok="t"/>
              <v:fill type="solid"/>
            </v:shape>
            <v:shape style="position:absolute;left:10803;top:1427;width:346;height:346" type="#_x0000_t75" stroked="false">
              <v:imagedata r:id="rId9" o:title=""/>
            </v:shape>
            <w10:wrap type="none"/>
          </v:group>
        </w:pict>
      </w:r>
      <w:r>
        <w:rPr>
          <w:color w:val="58595B"/>
          <w:sz w:val="14"/>
        </w:rPr>
        <w:t>Early works commenced late 2017</w:t>
      </w:r>
    </w:p>
    <w:p>
      <w:pPr>
        <w:spacing w:before="125"/>
        <w:ind w:left="466" w:right="0" w:hanging="5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Morayfield</w:t>
      </w:r>
    </w:p>
    <w:p>
      <w:pPr>
        <w:spacing w:line="254" w:lineRule="auto" w:before="87"/>
        <w:ind w:left="466" w:right="2" w:firstLine="33"/>
        <w:jc w:val="both"/>
        <w:rPr>
          <w:sz w:val="14"/>
        </w:rPr>
      </w:pPr>
      <w:r>
        <w:rPr>
          <w:color w:val="58595B"/>
          <w:sz w:val="14"/>
        </w:rPr>
        <w:t>Early works commenced late 2017</w:t>
      </w:r>
    </w:p>
    <w:p>
      <w:pPr>
        <w:spacing w:before="133"/>
        <w:ind w:left="468" w:right="0" w:firstLine="62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Boondall</w:t>
      </w:r>
    </w:p>
    <w:p>
      <w:pPr>
        <w:spacing w:line="254" w:lineRule="auto" w:before="87"/>
        <w:ind w:left="468" w:right="1797" w:firstLine="33"/>
        <w:jc w:val="both"/>
        <w:rPr>
          <w:sz w:val="14"/>
        </w:rPr>
      </w:pPr>
      <w:r>
        <w:rPr>
          <w:color w:val="58595B"/>
          <w:sz w:val="14"/>
        </w:rPr>
        <w:t>Early works commenced early 2018</w:t>
      </w:r>
    </w:p>
    <w:p>
      <w:pPr>
        <w:spacing w:after="0" w:line="254" w:lineRule="auto"/>
        <w:jc w:val="both"/>
        <w:rPr>
          <w:sz w:val="14"/>
        </w:rPr>
        <w:sectPr>
          <w:type w:val="continuous"/>
          <w:pgSz w:w="12480" w:h="17410"/>
          <w:pgMar w:top="0" w:bottom="0" w:left="0" w:right="0"/>
          <w:cols w:num="8" w:equalWidth="0">
            <w:col w:w="1941" w:space="40"/>
            <w:col w:w="1198" w:space="40"/>
            <w:col w:w="1188" w:space="40"/>
            <w:col w:w="1278" w:space="40"/>
            <w:col w:w="1135" w:space="40"/>
            <w:col w:w="1268" w:space="40"/>
            <w:col w:w="1196" w:space="40"/>
            <w:col w:w="299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812.692993pt;width:623.65pt;height:57.55pt;mso-position-horizontal-relative:page;mso-position-vertical-relative:page;z-index:-6256" coordorigin="0,16254" coordsize="12473,1151">
            <v:rect style="position:absolute;left:0;top:16253;width:12473;height:1151" filled="true" fillcolor="#d92231" stroked="false">
              <v:fill type="solid"/>
            </v:rect>
            <v:shape style="position:absolute;left:8341;top:16508;width:3429;height:388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69"/>
        <w:gridCol w:w="1299"/>
        <w:gridCol w:w="1185"/>
        <w:gridCol w:w="1266"/>
        <w:gridCol w:w="1263"/>
        <w:gridCol w:w="1318"/>
        <w:gridCol w:w="1032"/>
      </w:tblGrid>
      <w:tr>
        <w:trPr>
          <w:trHeight w:val="220" w:hRule="atLeast"/>
        </w:trPr>
        <w:tc>
          <w:tcPr>
            <w:tcW w:w="1028" w:type="dxa"/>
          </w:tcPr>
          <w:p>
            <w:pPr>
              <w:pStyle w:val="TableParagraph"/>
              <w:ind w:right="191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Albion</w:t>
            </w:r>
          </w:p>
        </w:tc>
        <w:tc>
          <w:tcPr>
            <w:tcW w:w="1169" w:type="dxa"/>
          </w:tcPr>
          <w:p>
            <w:pPr>
              <w:pStyle w:val="TableParagraph"/>
              <w:ind w:left="192" w:right="173"/>
              <w:rPr>
                <w:b/>
                <w:sz w:val="15"/>
              </w:rPr>
            </w:pPr>
            <w:r>
              <w:rPr>
                <w:b/>
                <w:color w:val="58595B"/>
                <w:sz w:val="15"/>
              </w:rPr>
              <w:t>Fairfield</w:t>
            </w:r>
          </w:p>
        </w:tc>
        <w:tc>
          <w:tcPr>
            <w:tcW w:w="1299" w:type="dxa"/>
          </w:tcPr>
          <w:p>
            <w:pPr>
              <w:pStyle w:val="TableParagraph"/>
              <w:ind w:left="160" w:right="150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Auchenflower</w:t>
            </w:r>
          </w:p>
        </w:tc>
        <w:tc>
          <w:tcPr>
            <w:tcW w:w="1185" w:type="dxa"/>
          </w:tcPr>
          <w:p>
            <w:pPr>
              <w:pStyle w:val="TableParagraph"/>
              <w:ind w:left="251"/>
              <w:jc w:val="left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Loganlea</w:t>
            </w:r>
          </w:p>
        </w:tc>
        <w:tc>
          <w:tcPr>
            <w:tcW w:w="1266" w:type="dxa"/>
          </w:tcPr>
          <w:p>
            <w:pPr>
              <w:pStyle w:val="TableParagraph"/>
              <w:ind w:left="211" w:right="21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Cannon Hill</w:t>
            </w:r>
          </w:p>
        </w:tc>
        <w:tc>
          <w:tcPr>
            <w:tcW w:w="1263" w:type="dxa"/>
          </w:tcPr>
          <w:p>
            <w:pPr>
              <w:pStyle w:val="TableParagraph"/>
              <w:ind w:left="226" w:right="23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Buranda</w:t>
            </w:r>
          </w:p>
        </w:tc>
        <w:tc>
          <w:tcPr>
            <w:tcW w:w="1318" w:type="dxa"/>
          </w:tcPr>
          <w:p>
            <w:pPr>
              <w:pStyle w:val="TableParagraph"/>
              <w:ind w:left="225" w:right="187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East Ipswich</w:t>
            </w:r>
          </w:p>
        </w:tc>
        <w:tc>
          <w:tcPr>
            <w:tcW w:w="1032" w:type="dxa"/>
          </w:tcPr>
          <w:p>
            <w:pPr>
              <w:pStyle w:val="TableParagraph"/>
              <w:ind w:left="196" w:right="32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Dakabin</w:t>
            </w:r>
          </w:p>
        </w:tc>
      </w:tr>
      <w:tr>
        <w:trPr>
          <w:trHeight w:val="200" w:hRule="atLeast"/>
        </w:trPr>
        <w:tc>
          <w:tcPr>
            <w:tcW w:w="1028" w:type="dxa"/>
          </w:tcPr>
          <w:p>
            <w:pPr>
              <w:pStyle w:val="TableParagraph"/>
              <w:spacing w:line="140" w:lineRule="exact" w:before="50"/>
              <w:ind w:right="191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69" w:type="dxa"/>
          </w:tcPr>
          <w:p>
            <w:pPr>
              <w:pStyle w:val="TableParagraph"/>
              <w:spacing w:line="140" w:lineRule="exact" w:before="50"/>
              <w:ind w:left="192" w:right="173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140" w:lineRule="exact" w:before="50"/>
              <w:ind w:left="160" w:right="150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85" w:type="dxa"/>
          </w:tcPr>
          <w:p>
            <w:pPr>
              <w:pStyle w:val="TableParagraph"/>
              <w:spacing w:line="140" w:lineRule="exact" w:before="50"/>
              <w:ind w:left="181"/>
              <w:jc w:val="left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6" w:type="dxa"/>
          </w:tcPr>
          <w:p>
            <w:pPr>
              <w:pStyle w:val="TableParagraph"/>
              <w:spacing w:line="140" w:lineRule="exact" w:before="50"/>
              <w:ind w:left="211" w:right="21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3" w:type="dxa"/>
          </w:tcPr>
          <w:p>
            <w:pPr>
              <w:pStyle w:val="TableParagraph"/>
              <w:spacing w:line="140" w:lineRule="exact" w:before="50"/>
              <w:ind w:left="226" w:right="23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318" w:type="dxa"/>
          </w:tcPr>
          <w:p>
            <w:pPr>
              <w:pStyle w:val="TableParagraph"/>
              <w:spacing w:line="140" w:lineRule="exact" w:before="50"/>
              <w:ind w:left="225" w:right="187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032" w:type="dxa"/>
          </w:tcPr>
          <w:p>
            <w:pPr>
              <w:pStyle w:val="TableParagraph"/>
              <w:spacing w:line="140" w:lineRule="exact" w:before="50"/>
              <w:ind w:left="196" w:right="32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</w:tr>
    </w:tbl>
    <w:sectPr>
      <w:type w:val="continuous"/>
      <w:pgSz w:w="12480" w:h="1741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Albert Pro">
    <w:altName w:val="FS Alber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01" w:hanging="400"/>
      </w:pPr>
      <w:rPr>
        <w:rFonts w:hint="default" w:ascii="FS Albert Pro" w:hAnsi="FS Albert Pro" w:eastAsia="FS Albert Pro" w:cs="FS Albert Pro"/>
        <w:color w:val="58595B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925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6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1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6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2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7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2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Albert Pro" w:hAnsi="FS Albert Pro" w:eastAsia="FS Albert Pro" w:cs="FS Albert Pro"/>
    </w:rPr>
  </w:style>
  <w:style w:styleId="BodyText" w:type="paragraph">
    <w:name w:val="Body Text"/>
    <w:basedOn w:val="Normal"/>
    <w:uiPriority w:val="1"/>
    <w:qFormat/>
    <w:pPr/>
    <w:rPr>
      <w:rFonts w:ascii="FS Albert Pro" w:hAnsi="FS Albert Pro" w:eastAsia="FS Albert Pro" w:cs="FS Albert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9"/>
      <w:ind w:left="470"/>
      <w:outlineLvl w:val="1"/>
    </w:pPr>
    <w:rPr>
      <w:rFonts w:ascii="FS Albert Pro" w:hAnsi="FS Albert Pro" w:eastAsia="FS Albert Pro" w:cs="FS Albert Pro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01" w:hanging="399"/>
    </w:pPr>
    <w:rPr>
      <w:rFonts w:ascii="FS Albert Pro" w:hAnsi="FS Albert Pro" w:eastAsia="FS Albert Pro" w:cs="FS Albert Pro"/>
    </w:rPr>
  </w:style>
  <w:style w:styleId="TableParagraph" w:type="paragraph">
    <w:name w:val="Table Paragraph"/>
    <w:basedOn w:val="Normal"/>
    <w:uiPriority w:val="1"/>
    <w:qFormat/>
    <w:pPr>
      <w:spacing w:before="24"/>
      <w:ind w:left="33"/>
      <w:jc w:val="center"/>
    </w:pPr>
    <w:rPr>
      <w:rFonts w:ascii="FS Albert Pro" w:hAnsi="FS Albert Pro" w:eastAsia="FS Albert Pro" w:cs="FS Albert P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07C3F-37AB-47CC-89B9-155F5FE1176E}"/>
</file>

<file path=customXml/itemProps2.xml><?xml version="1.0" encoding="utf-8"?>
<ds:datastoreItem xmlns:ds="http://schemas.openxmlformats.org/officeDocument/2006/customXml" ds:itemID="{4E0B8183-9F79-4B60-816D-2CE275FA0CCD}"/>
</file>

<file path=customXml/itemProps3.xml><?xml version="1.0" encoding="utf-8"?>
<ds:datastoreItem xmlns:ds="http://schemas.openxmlformats.org/officeDocument/2006/customXml" ds:itemID="{F48B3255-91B7-46AC-BACE-3354A3024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2018-05-30T08:51:36Z</dcterms:created>
  <dcterms:modified xsi:type="dcterms:W3CDTF">2018-05-30T08:51:36Z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0x010100A2ED94B99AC6E543AC366244A9AF2AE0</vt:lpwstr>
  </property>
</Properties>
</file>