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04326A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4"/>
                                  <w:szCs w:val="64"/>
                                </w:rPr>
                              </w:pPr>
                              <w:r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04326A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4"/>
                            <w:szCs w:val="64"/>
                          </w:rPr>
                        </w:pPr>
                        <w:r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26A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432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04326A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4326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06D8743C" w:rsidR="002F290D" w:rsidRPr="00C70A75" w:rsidRDefault="009F5405" w:rsidP="003D5465">
      <w:pPr>
        <w:spacing w:after="120"/>
        <w:ind w:left="567"/>
        <w:rPr>
          <w:rFonts w:ascii="Arial" w:eastAsia="Arial" w:hAnsi="Arial" w:cs="Arial"/>
          <w:sz w:val="68"/>
          <w:szCs w:val="68"/>
        </w:rPr>
      </w:pPr>
      <w:r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Night </w:t>
      </w:r>
      <w:r w:rsidR="002F290D" w:rsidRPr="00C70A75">
        <w:rPr>
          <w:rFonts w:ascii="Arial" w:hAnsi="Arial" w:cs="Arial"/>
          <w:b/>
          <w:color w:val="58595B"/>
          <w:spacing w:val="-1"/>
          <w:sz w:val="68"/>
          <w:szCs w:val="68"/>
        </w:rPr>
        <w:t>works</w:t>
      </w:r>
    </w:p>
    <w:p w14:paraId="6FBA4C64" w14:textId="595F9399" w:rsidR="002F290D" w:rsidRPr="0004326A" w:rsidRDefault="009F5405" w:rsidP="003B1E92">
      <w:pPr>
        <w:spacing w:before="240" w:after="240"/>
        <w:ind w:left="567"/>
        <w:rPr>
          <w:rFonts w:ascii="Arial" w:hAnsi="Arial" w:cs="Arial"/>
          <w:b/>
          <w:color w:val="58595B"/>
          <w:sz w:val="40"/>
          <w:szCs w:val="40"/>
        </w:rPr>
      </w:pPr>
      <w:r>
        <w:rPr>
          <w:rFonts w:ascii="Arial" w:hAnsi="Arial" w:cs="Arial"/>
          <w:b/>
          <w:color w:val="58595B"/>
          <w:sz w:val="40"/>
          <w:szCs w:val="40"/>
        </w:rPr>
        <w:t>June</w:t>
      </w:r>
      <w:r w:rsidR="002F290D" w:rsidRPr="0004326A">
        <w:rPr>
          <w:rFonts w:ascii="Arial" w:hAnsi="Arial" w:cs="Arial"/>
          <w:b/>
          <w:color w:val="58595B"/>
          <w:sz w:val="40"/>
          <w:szCs w:val="40"/>
        </w:rPr>
        <w:t xml:space="preserve"> 2021</w:t>
      </w:r>
    </w:p>
    <w:p w14:paraId="63C9C510" w14:textId="77777777" w:rsidR="0075189A" w:rsidRDefault="0075189A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</w:p>
    <w:p w14:paraId="6CD59924" w14:textId="202137F8" w:rsidR="00A46036" w:rsidRPr="0075189A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75189A">
        <w:rPr>
          <w:rFonts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C70A75" w:rsidRPr="0075189A">
        <w:rPr>
          <w:rFonts w:cs="Arial"/>
          <w:color w:val="58595B"/>
          <w:sz w:val="22"/>
          <w:szCs w:val="22"/>
        </w:rPr>
        <w:t>night works</w:t>
      </w:r>
      <w:r w:rsidR="0075189A" w:rsidRPr="0075189A">
        <w:rPr>
          <w:rFonts w:cs="Arial"/>
          <w:color w:val="58595B"/>
          <w:sz w:val="22"/>
          <w:szCs w:val="22"/>
        </w:rPr>
        <w:t xml:space="preserve"> (</w:t>
      </w:r>
      <w:r w:rsidR="0075189A" w:rsidRPr="0075189A">
        <w:rPr>
          <w:rFonts w:cs="Arial"/>
          <w:b/>
          <w:bCs/>
          <w:color w:val="58595B"/>
          <w:sz w:val="22"/>
          <w:szCs w:val="22"/>
        </w:rPr>
        <w:t>8pm to 5am</w:t>
      </w:r>
      <w:r w:rsidR="0075189A">
        <w:rPr>
          <w:rFonts w:cs="Arial"/>
          <w:color w:val="58595B"/>
          <w:sz w:val="22"/>
          <w:szCs w:val="22"/>
        </w:rPr>
        <w:t xml:space="preserve"> the next day, </w:t>
      </w:r>
      <w:r w:rsidR="0075189A" w:rsidRPr="0075189A">
        <w:rPr>
          <w:rFonts w:cs="Arial"/>
          <w:color w:val="58595B"/>
          <w:sz w:val="22"/>
          <w:szCs w:val="22"/>
        </w:rPr>
        <w:t xml:space="preserve">Monday to Friday) over two weeks </w:t>
      </w:r>
      <w:r w:rsidR="0075189A" w:rsidRPr="0075189A">
        <w:rPr>
          <w:rFonts w:cs="Arial"/>
          <w:b/>
          <w:bCs/>
          <w:color w:val="58595B"/>
          <w:sz w:val="22"/>
          <w:szCs w:val="22"/>
        </w:rPr>
        <w:t>from Monday 21 June to Friday 2 July</w:t>
      </w:r>
      <w:r w:rsidR="00A47D0E" w:rsidRPr="0075189A">
        <w:rPr>
          <w:rFonts w:cs="Arial"/>
          <w:b/>
          <w:bCs/>
          <w:color w:val="58595B"/>
          <w:sz w:val="22"/>
          <w:szCs w:val="22"/>
        </w:rPr>
        <w:t xml:space="preserve"> 2021</w:t>
      </w:r>
      <w:r w:rsidRPr="0075189A">
        <w:rPr>
          <w:rFonts w:cs="Arial"/>
          <w:color w:val="58595B"/>
          <w:sz w:val="22"/>
          <w:szCs w:val="22"/>
        </w:rPr>
        <w:t xml:space="preserve">. </w:t>
      </w:r>
      <w:r w:rsidR="003D5465" w:rsidRPr="0075189A">
        <w:rPr>
          <w:rFonts w:cs="Arial"/>
          <w:color w:val="58595B"/>
          <w:sz w:val="22"/>
          <w:szCs w:val="22"/>
        </w:rPr>
        <w:t>T</w:t>
      </w:r>
      <w:r w:rsidR="00A47D0E" w:rsidRPr="0075189A">
        <w:rPr>
          <w:rFonts w:cs="Arial"/>
          <w:color w:val="58595B"/>
          <w:sz w:val="22"/>
          <w:szCs w:val="22"/>
        </w:rPr>
        <w:t xml:space="preserve">hese works </w:t>
      </w:r>
      <w:r w:rsidR="00B62E99" w:rsidRPr="0075189A">
        <w:rPr>
          <w:rFonts w:cs="Arial"/>
          <w:color w:val="58595B"/>
          <w:sz w:val="22"/>
          <w:szCs w:val="22"/>
        </w:rPr>
        <w:t xml:space="preserve">are a continuation of those </w:t>
      </w:r>
      <w:r w:rsidR="00CD0467">
        <w:rPr>
          <w:rFonts w:cs="Arial"/>
          <w:color w:val="58595B"/>
          <w:sz w:val="22"/>
          <w:szCs w:val="22"/>
        </w:rPr>
        <w:t xml:space="preserve">previously </w:t>
      </w:r>
      <w:r w:rsidR="00B62E99" w:rsidRPr="0075189A">
        <w:rPr>
          <w:rFonts w:cs="Arial"/>
          <w:color w:val="58595B"/>
          <w:sz w:val="22"/>
          <w:szCs w:val="22"/>
        </w:rPr>
        <w:t xml:space="preserve">notified </w:t>
      </w:r>
      <w:r w:rsidR="0075189A" w:rsidRPr="0075189A">
        <w:rPr>
          <w:rFonts w:cs="Arial"/>
          <w:color w:val="58595B"/>
          <w:sz w:val="22"/>
          <w:szCs w:val="22"/>
        </w:rPr>
        <w:t>for the month of June and they can only be undertaken</w:t>
      </w:r>
      <w:r w:rsidR="00A47D0E" w:rsidRPr="0075189A">
        <w:rPr>
          <w:rFonts w:cs="Arial"/>
          <w:color w:val="58595B"/>
          <w:sz w:val="22"/>
          <w:szCs w:val="22"/>
        </w:rPr>
        <w:t xml:space="preserve"> after hours when </w:t>
      </w:r>
      <w:r w:rsidRPr="0075189A">
        <w:rPr>
          <w:rFonts w:cs="Arial"/>
          <w:color w:val="58595B"/>
          <w:sz w:val="22"/>
          <w:szCs w:val="22"/>
        </w:rPr>
        <w:t xml:space="preserve">rail traffic </w:t>
      </w:r>
      <w:r w:rsidR="00A47D0E" w:rsidRPr="0075189A">
        <w:rPr>
          <w:rFonts w:cs="Arial"/>
          <w:color w:val="58595B"/>
          <w:sz w:val="22"/>
          <w:szCs w:val="22"/>
        </w:rPr>
        <w:t>is reduced and there are fewer people around the station precinct.</w:t>
      </w:r>
    </w:p>
    <w:p w14:paraId="6B0FE466" w14:textId="7510A452" w:rsidR="0075189A" w:rsidRPr="0075189A" w:rsidRDefault="0075189A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75189A">
        <w:rPr>
          <w:rFonts w:cs="Arial"/>
          <w:color w:val="58595B"/>
          <w:sz w:val="22"/>
          <w:szCs w:val="22"/>
        </w:rPr>
        <w:t xml:space="preserve">To support these works, there may be single-lane closures (under traffic control) on Auchenflower Terrace and Lang Parade </w:t>
      </w:r>
      <w:r w:rsidR="0002494A">
        <w:rPr>
          <w:rFonts w:cs="Arial"/>
          <w:color w:val="58595B"/>
          <w:sz w:val="22"/>
          <w:szCs w:val="22"/>
        </w:rPr>
        <w:t xml:space="preserve">on </w:t>
      </w:r>
      <w:r w:rsidRPr="0075189A">
        <w:rPr>
          <w:rFonts w:cs="Arial"/>
          <w:color w:val="58595B"/>
          <w:sz w:val="22"/>
          <w:szCs w:val="22"/>
        </w:rPr>
        <w:t>selected dates.</w:t>
      </w:r>
    </w:p>
    <w:p w14:paraId="27DE9874" w14:textId="58597044" w:rsidR="002F290D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75189A">
        <w:rPr>
          <w:rFonts w:cs="Arial"/>
          <w:color w:val="58595B"/>
          <w:sz w:val="22"/>
          <w:szCs w:val="22"/>
        </w:rPr>
        <w:t xml:space="preserve">Residents near the station may experience some noise associated with construction activity and the operation of </w:t>
      </w:r>
      <w:r w:rsidR="00650352" w:rsidRPr="0075189A">
        <w:rPr>
          <w:rFonts w:cs="Arial"/>
          <w:color w:val="58595B"/>
          <w:sz w:val="22"/>
          <w:szCs w:val="22"/>
        </w:rPr>
        <w:t xml:space="preserve">excavators, </w:t>
      </w:r>
      <w:r w:rsidR="003B1E92" w:rsidRPr="0075189A">
        <w:rPr>
          <w:rFonts w:cs="Arial"/>
          <w:color w:val="58595B"/>
          <w:sz w:val="22"/>
          <w:szCs w:val="22"/>
        </w:rPr>
        <w:t xml:space="preserve">cranes, </w:t>
      </w:r>
      <w:r w:rsidR="00A47D0E" w:rsidRPr="0075189A">
        <w:rPr>
          <w:rFonts w:cs="Arial"/>
          <w:color w:val="58595B"/>
          <w:sz w:val="22"/>
          <w:szCs w:val="22"/>
        </w:rPr>
        <w:t xml:space="preserve">concrete pumping trucks </w:t>
      </w:r>
      <w:r w:rsidRPr="0075189A">
        <w:rPr>
          <w:rFonts w:cs="Arial"/>
          <w:color w:val="58595B"/>
          <w:sz w:val="22"/>
          <w:szCs w:val="22"/>
        </w:rPr>
        <w:t>and equipment around the work zone.</w:t>
      </w:r>
      <w:r w:rsidR="003B1E92" w:rsidRPr="0075189A">
        <w:rPr>
          <w:rFonts w:cs="Arial"/>
          <w:color w:val="58595B"/>
          <w:sz w:val="22"/>
          <w:szCs w:val="22"/>
        </w:rPr>
        <w:t xml:space="preserve"> E</w:t>
      </w:r>
      <w:r w:rsidRPr="0075189A">
        <w:rPr>
          <w:rFonts w:cs="Arial"/>
          <w:color w:val="58595B"/>
          <w:sz w:val="22"/>
          <w:szCs w:val="22"/>
        </w:rPr>
        <w:t xml:space="preserve">very effort will be made to minimise disruption and we thank you for your patience </w:t>
      </w:r>
      <w:r w:rsidR="007027DB" w:rsidRPr="0075189A">
        <w:rPr>
          <w:rFonts w:cs="Arial"/>
          <w:color w:val="58595B"/>
          <w:sz w:val="22"/>
          <w:szCs w:val="22"/>
        </w:rPr>
        <w:t>during these important works</w:t>
      </w:r>
      <w:r w:rsidRPr="0075189A">
        <w:rPr>
          <w:rFonts w:cs="Arial"/>
          <w:color w:val="58595B"/>
          <w:sz w:val="22"/>
          <w:szCs w:val="22"/>
        </w:rPr>
        <w:t>.</w:t>
      </w:r>
    </w:p>
    <w:p w14:paraId="3B4D1357" w14:textId="1811703E" w:rsidR="00E17319" w:rsidRPr="00914049" w:rsidRDefault="00492732" w:rsidP="007027DB">
      <w:pPr>
        <w:pStyle w:val="Heading1"/>
        <w:spacing w:before="240"/>
        <w:ind w:left="567" w:firstLine="0"/>
        <w:rPr>
          <w:rFonts w:cs="Arial"/>
          <w:color w:val="58595B"/>
          <w:sz w:val="22"/>
          <w:szCs w:val="22"/>
        </w:rPr>
      </w:pPr>
      <w:r w:rsidRPr="00914049">
        <w:rPr>
          <w:rFonts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1EFF410F">
                <wp:simplePos x="0" y="0"/>
                <wp:positionH relativeFrom="margin">
                  <wp:posOffset>7191375</wp:posOffset>
                </wp:positionH>
                <wp:positionV relativeFrom="paragraph">
                  <wp:posOffset>1132840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6.25pt;margin-top:89.2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914049">
        <w:rPr>
          <w:rFonts w:cs="Arial"/>
          <w:color w:val="58595B"/>
          <w:sz w:val="22"/>
          <w:szCs w:val="22"/>
        </w:rPr>
        <w:t xml:space="preserve">Overview of </w:t>
      </w:r>
      <w:r w:rsidR="00E17319" w:rsidRPr="00914049">
        <w:rPr>
          <w:rFonts w:cs="Arial"/>
          <w:color w:val="58595B"/>
          <w:sz w:val="22"/>
          <w:szCs w:val="22"/>
        </w:rPr>
        <w:t>work</w:t>
      </w:r>
      <w:r w:rsidR="00F62795" w:rsidRPr="00914049">
        <w:rPr>
          <w:rFonts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827"/>
        <w:gridCol w:w="4961"/>
      </w:tblGrid>
      <w:tr w:rsidR="007E69B8" w:rsidRPr="00914049" w14:paraId="72316BA9" w14:textId="77777777" w:rsidTr="00914049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3B1E92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3B1E92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3827" w:type="dxa"/>
            <w:shd w:val="clear" w:color="auto" w:fill="58595B"/>
          </w:tcPr>
          <w:p w14:paraId="6F690195" w14:textId="77777777" w:rsidR="007E69B8" w:rsidRPr="003B1E92" w:rsidRDefault="007E69B8" w:rsidP="00F25A9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  <w:r w:rsidRPr="003B1E92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3B1E92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3B1E92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3B1E92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3B1E92">
              <w:rPr>
                <w:rFonts w:ascii="Arial" w:hAnsi="Arial" w:cs="Arial"/>
                <w:b/>
                <w:color w:val="FFFFFF"/>
              </w:rPr>
              <w:t>hours</w:t>
            </w:r>
            <w:r w:rsidRPr="003B1E92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3B1E92">
              <w:rPr>
                <w:rFonts w:ascii="Arial" w:hAnsi="Arial" w:cs="Arial"/>
                <w:b/>
                <w:color w:val="FFFFFF"/>
              </w:rPr>
              <w:t>of</w:t>
            </w:r>
            <w:r w:rsidRPr="003B1E92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3B1E92">
              <w:rPr>
                <w:rFonts w:ascii="Arial" w:hAnsi="Arial" w:cs="Arial"/>
                <w:b/>
                <w:color w:val="FFFFFF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3B1E92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3B1E92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3B1E92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3B1E92">
              <w:rPr>
                <w:rFonts w:ascii="Arial" w:hAnsi="Arial" w:cs="Arial"/>
                <w:b/>
                <w:color w:val="FFFFFF"/>
              </w:rPr>
              <w:t>of</w:t>
            </w:r>
            <w:r w:rsidRPr="003B1E92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3B1E92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650352" w:rsidRPr="00914049" w14:paraId="45570F75" w14:textId="77777777" w:rsidTr="003B1E92">
        <w:trPr>
          <w:trHeight w:val="1703"/>
        </w:trPr>
        <w:tc>
          <w:tcPr>
            <w:tcW w:w="1970" w:type="dxa"/>
          </w:tcPr>
          <w:p w14:paraId="6646B326" w14:textId="77777777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 xml:space="preserve">Auchenflower station, </w:t>
            </w:r>
            <w:proofErr w:type="gramStart"/>
            <w:r w:rsidRPr="0075189A">
              <w:rPr>
                <w:rFonts w:ascii="Arial" w:hAnsi="Arial" w:cs="Arial"/>
                <w:color w:val="58595B"/>
              </w:rPr>
              <w:t>carpark</w:t>
            </w:r>
            <w:proofErr w:type="gramEnd"/>
            <w:r w:rsidRPr="0075189A">
              <w:rPr>
                <w:rFonts w:ascii="Arial" w:hAnsi="Arial" w:cs="Arial"/>
                <w:color w:val="58595B"/>
              </w:rPr>
              <w:t xml:space="preserve"> and rail corridor </w:t>
            </w:r>
          </w:p>
          <w:p w14:paraId="41539FD5" w14:textId="77777777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</w:p>
          <w:p w14:paraId="45D62482" w14:textId="77777777" w:rsidR="00650352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Station subway (closed during concrete pours)</w:t>
            </w:r>
          </w:p>
          <w:p w14:paraId="0EDFE34C" w14:textId="77777777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</w:p>
          <w:p w14:paraId="347096A1" w14:textId="5B66AB40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Auchenflower Terrace and Lang Parade (lane closures)</w:t>
            </w:r>
          </w:p>
        </w:tc>
        <w:tc>
          <w:tcPr>
            <w:tcW w:w="3827" w:type="dxa"/>
          </w:tcPr>
          <w:p w14:paraId="7CF0366A" w14:textId="157284D9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</w:rPr>
            </w:pPr>
            <w:r w:rsidRPr="0075189A">
              <w:rPr>
                <w:rFonts w:ascii="Arial" w:hAnsi="Arial" w:cs="Arial"/>
                <w:b/>
                <w:color w:val="58595B"/>
              </w:rPr>
              <w:t xml:space="preserve">8pm to 5am </w:t>
            </w:r>
            <w:r w:rsidRPr="0075189A">
              <w:rPr>
                <w:rFonts w:ascii="Arial" w:hAnsi="Arial" w:cs="Arial"/>
                <w:bCs/>
                <w:color w:val="58595B"/>
              </w:rPr>
              <w:t>the next day on:</w:t>
            </w:r>
          </w:p>
          <w:p w14:paraId="655F2ACF" w14:textId="77777777" w:rsidR="0075189A" w:rsidRPr="0075189A" w:rsidRDefault="0075189A" w:rsidP="0075189A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</w:rPr>
            </w:pPr>
          </w:p>
          <w:p w14:paraId="26648582" w14:textId="65263A97" w:rsidR="0075189A" w:rsidRPr="0075189A" w:rsidRDefault="0075189A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</w:rPr>
            </w:pPr>
            <w:r w:rsidRPr="0075189A">
              <w:rPr>
                <w:rFonts w:ascii="Arial" w:hAnsi="Arial" w:cs="Arial"/>
                <w:b/>
                <w:color w:val="58595B"/>
              </w:rPr>
              <w:t>Monday 21 to Friday 25 June</w:t>
            </w:r>
          </w:p>
          <w:p w14:paraId="7A0E662B" w14:textId="2BD7563E" w:rsidR="0075189A" w:rsidRPr="0075189A" w:rsidRDefault="0075189A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</w:rPr>
            </w:pPr>
            <w:r w:rsidRPr="0075189A">
              <w:rPr>
                <w:rFonts w:ascii="Arial" w:hAnsi="Arial" w:cs="Arial"/>
                <w:b/>
                <w:color w:val="58595B"/>
              </w:rPr>
              <w:t>Monday 28 June to Friday 2 July</w:t>
            </w:r>
          </w:p>
          <w:p w14:paraId="321FF3CD" w14:textId="77777777" w:rsidR="00650352" w:rsidRPr="0075189A" w:rsidRDefault="00650352" w:rsidP="0075189A">
            <w:pPr>
              <w:pStyle w:val="TableParagraph"/>
              <w:spacing w:before="19"/>
              <w:ind w:left="509"/>
              <w:rPr>
                <w:rFonts w:ascii="Arial" w:hAnsi="Arial" w:cs="Arial"/>
                <w:b/>
                <w:color w:val="58595B"/>
                <w:sz w:val="18"/>
                <w:szCs w:val="18"/>
              </w:rPr>
            </w:pPr>
          </w:p>
          <w:p w14:paraId="5E4F801E" w14:textId="1A00CF8A" w:rsidR="0075189A" w:rsidRPr="0075189A" w:rsidRDefault="0075189A" w:rsidP="0075189A">
            <w:pPr>
              <w:pStyle w:val="TableParagraph"/>
              <w:spacing w:before="19"/>
              <w:ind w:left="509"/>
              <w:rPr>
                <w:rFonts w:ascii="Arial" w:hAnsi="Arial" w:cs="Arial"/>
                <w:bCs/>
                <w:color w:val="58595B"/>
              </w:rPr>
            </w:pPr>
            <w:r w:rsidRPr="0075189A">
              <w:rPr>
                <w:rFonts w:ascii="Arial" w:hAnsi="Arial" w:cs="Arial"/>
                <w:bCs/>
                <w:color w:val="58595B"/>
              </w:rPr>
              <w:t>(10 nights over two weeks)</w:t>
            </w:r>
          </w:p>
        </w:tc>
        <w:tc>
          <w:tcPr>
            <w:tcW w:w="4961" w:type="dxa"/>
          </w:tcPr>
          <w:p w14:paraId="6BFFD960" w14:textId="77777777" w:rsidR="0075189A" w:rsidRPr="0075189A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Station upgrade activities involving:</w:t>
            </w:r>
          </w:p>
          <w:p w14:paraId="51432C3D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excavation and removal of spoil</w:t>
            </w:r>
          </w:p>
          <w:p w14:paraId="1904FD73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bored piling (drilling) – foundations for new footbridge and stairs</w:t>
            </w:r>
          </w:p>
          <w:p w14:paraId="6F7BDDB8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concrete pours</w:t>
            </w:r>
          </w:p>
          <w:p w14:paraId="7DF5DDD7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platform works</w:t>
            </w:r>
          </w:p>
          <w:p w14:paraId="5C4C8700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eastAsia="Arial" w:hAnsi="Arial" w:cs="Arial"/>
              </w:rPr>
            </w:pPr>
            <w:r w:rsidRPr="0075189A">
              <w:rPr>
                <w:rFonts w:ascii="Arial" w:hAnsi="Arial" w:cs="Arial"/>
                <w:color w:val="58595B"/>
              </w:rPr>
              <w:t>operation of cranes, concrete trucks and movement of vehicles and machinery with flashing lights and reversing beepers</w:t>
            </w:r>
          </w:p>
          <w:p w14:paraId="5298A70D" w14:textId="77777777" w:rsidR="0075189A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use of hand-held tools and powered equipment</w:t>
            </w:r>
          </w:p>
          <w:p w14:paraId="3CDA97EB" w14:textId="1C68B8D0" w:rsidR="00650352" w:rsidRPr="0075189A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portable lighting towers in use at night</w:t>
            </w:r>
          </w:p>
          <w:p w14:paraId="2AF2F2BD" w14:textId="163749B1" w:rsidR="00650352" w:rsidRPr="0075189A" w:rsidRDefault="00492732" w:rsidP="0065035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75189A">
              <w:rPr>
                <w:rFonts w:ascii="Arial" w:hAnsi="Arial" w:cs="Arial"/>
                <w:color w:val="58595B"/>
              </w:rPr>
              <w:t>single-lane closures under traffic control</w:t>
            </w:r>
            <w:r w:rsidR="0075189A" w:rsidRPr="0075189A">
              <w:rPr>
                <w:rFonts w:ascii="Arial" w:hAnsi="Arial" w:cs="Arial"/>
                <w:color w:val="58595B"/>
              </w:rPr>
              <w:t xml:space="preserve">, </w:t>
            </w:r>
            <w:r w:rsidRPr="0075189A">
              <w:rPr>
                <w:rFonts w:ascii="Arial" w:hAnsi="Arial" w:cs="Arial"/>
                <w:color w:val="58595B"/>
              </w:rPr>
              <w:t>as required</w:t>
            </w:r>
            <w:r w:rsidR="00914049" w:rsidRPr="0075189A">
              <w:rPr>
                <w:rFonts w:ascii="Arial" w:hAnsi="Arial" w:cs="Arial"/>
                <w:color w:val="58595B"/>
              </w:rPr>
              <w:t xml:space="preserve"> (Auchenflower Terrace and Lang Parade)</w:t>
            </w:r>
            <w:r w:rsidRPr="0075189A">
              <w:rPr>
                <w:rFonts w:ascii="Arial" w:hAnsi="Arial" w:cs="Arial"/>
                <w:color w:val="58595B"/>
              </w:rPr>
              <w:t>.</w:t>
            </w:r>
          </w:p>
        </w:tc>
      </w:tr>
    </w:tbl>
    <w:p w14:paraId="47E40E87" w14:textId="569CD8DF" w:rsidR="003B1E92" w:rsidRDefault="002F290D" w:rsidP="00914049">
      <w:pPr>
        <w:pStyle w:val="BodyText"/>
        <w:spacing w:before="120" w:after="120"/>
        <w:ind w:left="567"/>
        <w:rPr>
          <w:rFonts w:cs="Arial"/>
          <w:color w:val="58595B"/>
          <w:sz w:val="22"/>
          <w:szCs w:val="22"/>
        </w:rPr>
      </w:pPr>
      <w:r w:rsidRPr="003D5465">
        <w:rPr>
          <w:rFonts w:cs="Arial"/>
          <w:color w:val="58595B"/>
          <w:sz w:val="22"/>
          <w:szCs w:val="22"/>
        </w:rPr>
        <w:t>The Auchenflower station accessibility upgrade is part of the State Government’s</w:t>
      </w:r>
      <w:r w:rsidR="001F44B4" w:rsidRPr="003D5465">
        <w:rPr>
          <w:rFonts w:cs="Arial"/>
          <w:color w:val="58595B"/>
          <w:sz w:val="22"/>
          <w:szCs w:val="22"/>
        </w:rPr>
        <w:t xml:space="preserve"> ongoing </w:t>
      </w:r>
      <w:r w:rsidRPr="003D5465">
        <w:rPr>
          <w:rFonts w:cs="Arial"/>
          <w:color w:val="58595B"/>
          <w:sz w:val="22"/>
          <w:szCs w:val="22"/>
        </w:rPr>
        <w:t>investment</w:t>
      </w:r>
      <w:r w:rsidR="001F44B4" w:rsidRPr="003D5465">
        <w:rPr>
          <w:rFonts w:cs="Arial"/>
          <w:color w:val="58595B"/>
          <w:sz w:val="22"/>
          <w:szCs w:val="22"/>
        </w:rPr>
        <w:t xml:space="preserve"> of more than $500 million</w:t>
      </w:r>
      <w:r w:rsidRPr="003D5465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914049">
        <w:rPr>
          <w:rFonts w:cs="Arial"/>
          <w:color w:val="58595B"/>
          <w:sz w:val="22"/>
          <w:szCs w:val="22"/>
        </w:rPr>
        <w:t xml:space="preserve"> </w:t>
      </w:r>
    </w:p>
    <w:p w14:paraId="32D1661A" w14:textId="13F4B645" w:rsidR="00EF4D7B" w:rsidRDefault="007027DB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3D5465">
        <w:rPr>
          <w:rFonts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65DB2A86">
                <wp:simplePos x="0" y="0"/>
                <wp:positionH relativeFrom="column">
                  <wp:posOffset>371475</wp:posOffset>
                </wp:positionH>
                <wp:positionV relativeFrom="paragraph">
                  <wp:posOffset>403860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32C73" id="Group 63" o:spid="_x0000_s1026" style="position:absolute;margin-left:29.25pt;margin-top:31.8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EF4D7B" w:rsidRPr="003D5465">
        <w:rPr>
          <w:rFonts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EF4D7B" w:rsidRPr="003D5465">
        <w:rPr>
          <w:rFonts w:cs="Arial"/>
          <w:b/>
          <w:color w:val="58595B"/>
          <w:sz w:val="22"/>
          <w:szCs w:val="22"/>
        </w:rPr>
        <w:t>1800 722 203</w:t>
      </w:r>
      <w:r w:rsidR="00EF4D7B" w:rsidRPr="003D5465">
        <w:rPr>
          <w:rFonts w:cs="Arial"/>
          <w:color w:val="58595B"/>
          <w:sz w:val="22"/>
          <w:szCs w:val="22"/>
        </w:rPr>
        <w:t xml:space="preserve"> or email </w:t>
      </w:r>
      <w:hyperlink r:id="rId11">
        <w:r w:rsidR="00EF4D7B" w:rsidRPr="003D5465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270E075D" w14:textId="3986199B" w:rsidR="00BD1995" w:rsidRDefault="00BD1995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74" behindDoc="0" locked="0" layoutInCell="1" allowOverlap="1" wp14:anchorId="77C1D373" wp14:editId="2F784B1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991350" cy="1396420"/>
            <wp:effectExtent l="0" t="0" r="0" b="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3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5DF0031F">
            <wp:simplePos x="0" y="0"/>
            <wp:positionH relativeFrom="margin">
              <wp:posOffset>5025390</wp:posOffset>
            </wp:positionH>
            <wp:positionV relativeFrom="paragraph">
              <wp:posOffset>1012190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2494A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189A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9F5405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12AC"/>
    <w:rsid w:val="00B94EF9"/>
    <w:rsid w:val="00B95AC0"/>
    <w:rsid w:val="00BA34D6"/>
    <w:rsid w:val="00BA4088"/>
    <w:rsid w:val="00BB0125"/>
    <w:rsid w:val="00BB2B92"/>
    <w:rsid w:val="00BC47E0"/>
    <w:rsid w:val="00BD1995"/>
    <w:rsid w:val="00BD6821"/>
    <w:rsid w:val="00BD6F7E"/>
    <w:rsid w:val="00BD7181"/>
    <w:rsid w:val="00BF0B0D"/>
    <w:rsid w:val="00C028A5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14615"/>
    <w:rsid w:val="00D14AB5"/>
    <w:rsid w:val="00D163D8"/>
    <w:rsid w:val="00D20BE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40662-8FEA-4939-8E7E-5DA203E0D8AC}"/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52D19E9A-4AFF-48A9-97E3-15704954092D}"/>
</file>

<file path=customXml/itemProps4.xml><?xml version="1.0" encoding="utf-8"?>
<ds:datastoreItem xmlns:ds="http://schemas.openxmlformats.org/officeDocument/2006/customXml" ds:itemID="{37E960FE-6FDA-4DB4-A6C9-5C47F6C1CD29}"/>
</file>

<file path=customXml/itemProps5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2021-04-22T04:11:00Z</cp:lastPrinted>
  <dcterms:created xsi:type="dcterms:W3CDTF">2021-06-14T22:59:00Z</dcterms:created>
  <dcterms:modified xsi:type="dcterms:W3CDTF">2021-06-14T22:59:00Z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